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A1FB8" w14:textId="2462B45C" w:rsidR="00AC4EF5" w:rsidRDefault="00683D95" w:rsidP="00683D95">
      <w:pPr>
        <w:pStyle w:val="WitregelW1bodytekst"/>
      </w:pPr>
      <w:r>
        <w:t>De urgentie om door te bouwen aan betaalbare woningen is groot</w:t>
      </w:r>
      <w:r w:rsidR="0081775C">
        <w:t>.</w:t>
      </w:r>
      <w:r>
        <w:t xml:space="preserve"> </w:t>
      </w:r>
      <w:r w:rsidR="0081775C">
        <w:t>T</w:t>
      </w:r>
      <w:r>
        <w:t xml:space="preserve">e veel mensen </w:t>
      </w:r>
      <w:r w:rsidR="0081775C">
        <w:t xml:space="preserve">kunnen </w:t>
      </w:r>
      <w:r>
        <w:t>op dit moment geen betaalbare</w:t>
      </w:r>
      <w:r w:rsidR="0081775C">
        <w:t>, passende</w:t>
      </w:r>
      <w:r>
        <w:t xml:space="preserve"> woning vinden. </w:t>
      </w:r>
      <w:r w:rsidR="00AC4EF5">
        <w:t>De opgave is bovendien groter geworden doordat de vraag naar huisvesting, met name door migratie, sneller groeit dan verwacht</w:t>
      </w:r>
      <w:r w:rsidR="00AC4EF5">
        <w:rPr>
          <w:rStyle w:val="Voetnootmarkering"/>
        </w:rPr>
        <w:footnoteReference w:id="1"/>
      </w:r>
      <w:r w:rsidR="00AC4EF5">
        <w:t xml:space="preserve">. Gelet op het enorme woningtekort, kunnen wij ons geen stilstand op de woningbouw permitteren. </w:t>
      </w:r>
    </w:p>
    <w:p w14:paraId="3E5BE5DF" w14:textId="77777777" w:rsidR="00AC4EF5" w:rsidRDefault="00AC4EF5" w:rsidP="00683D95">
      <w:pPr>
        <w:pStyle w:val="WitregelW1bodytekst"/>
      </w:pPr>
    </w:p>
    <w:p w14:paraId="788B2186" w14:textId="7FEF8D47" w:rsidR="00AC4EF5" w:rsidRDefault="00AC4EF5" w:rsidP="00683D95">
      <w:pPr>
        <w:pStyle w:val="WitregelW1bodytekst"/>
      </w:pPr>
      <w:r>
        <w:t>Mijn inzet voor de woningbouw is met meer regie, meer tempo, meer betaalbare woningen te bouwen. Het afgelopen jaar is hiervoor het fundament gelegd met de bestuurlijke afspraken met provincies, gemeenten en woningcorporaties. Het vraagt nu maximale inzet van alle partijen om de gemaakte afspraken ook te realiseren. Locaties die inmiddels vergund zijn moeten zo snel mogelijk starten met de bouw en de locaties die snel kunnen starten met de bouw moeten zo snel mogelijk vergund worden. Dit doen we onder andere via het aanpakken van knelpunten in de landelijke en regionale versnellingstafels.</w:t>
      </w:r>
    </w:p>
    <w:p w14:paraId="359E1AD8" w14:textId="77777777" w:rsidR="00683D95" w:rsidRDefault="00683D95" w:rsidP="00683D95">
      <w:pPr>
        <w:pStyle w:val="WitregelW1bodytekst"/>
      </w:pPr>
    </w:p>
    <w:p w14:paraId="0D78AF8E" w14:textId="163F41A7" w:rsidR="00683D95" w:rsidRDefault="00AC4EF5" w:rsidP="00683D95">
      <w:pPr>
        <w:pStyle w:val="WitregelW1bodytekst"/>
      </w:pPr>
      <w:r>
        <w:t>D</w:t>
      </w:r>
      <w:r w:rsidR="00683D95">
        <w:t xml:space="preserve">oor </w:t>
      </w:r>
      <w:r w:rsidR="00521CB1">
        <w:t xml:space="preserve">de </w:t>
      </w:r>
      <w:r w:rsidR="00683D95">
        <w:t xml:space="preserve">veranderende economische omstandigheden zoals de gestegen rente en bouwkosten </w:t>
      </w:r>
      <w:r w:rsidR="00521CB1">
        <w:t>is de verwachting dat er met name in 2024 en 2025 een dip in de woningbouwproductie komt</w:t>
      </w:r>
      <w:r w:rsidR="00683D95">
        <w:t xml:space="preserve">. </w:t>
      </w:r>
      <w:r w:rsidR="00521CB1">
        <w:t>De w</w:t>
      </w:r>
      <w:r w:rsidR="00683D95">
        <w:t xml:space="preserve">oningbouw dreigt achterop te raken vanwege ontstane tekorten in de business case. Voor bouwprojecten die daar hinder van ondervinden maar planologisch wel ver genoeg zijn om in het vierde kwartaal van 2023, in 2024 of in 2025 te worden gestart, zet ik dit najaar de Startbouwimpuls (SBI) in. Daarmee wordt op veel locaties die inmiddels vergund zijn zo snel </w:t>
      </w:r>
      <w:proofErr w:type="gramStart"/>
      <w:r w:rsidR="00683D95">
        <w:t>mogelijk</w:t>
      </w:r>
      <w:proofErr w:type="gramEnd"/>
      <w:r w:rsidR="00683D95">
        <w:t xml:space="preserve"> gestart met de bouw.</w:t>
      </w:r>
    </w:p>
    <w:p w14:paraId="69F3A151" w14:textId="77777777" w:rsidR="00683D95" w:rsidRDefault="00683D95" w:rsidP="00683D95">
      <w:pPr>
        <w:pStyle w:val="WitregelW1bodytekst"/>
      </w:pPr>
    </w:p>
    <w:p w14:paraId="55B80606" w14:textId="65139616" w:rsidR="00683D95" w:rsidRDefault="00683D95" w:rsidP="00E976C2">
      <w:pPr>
        <w:pStyle w:val="WitregelW1bodytekst"/>
        <w:rPr>
          <w:rFonts w:cs="Verdana"/>
          <w:color w:val="auto"/>
        </w:rPr>
      </w:pPr>
      <w:r>
        <w:t>Er is minimaal € 250 miljoen beschikbaar om door te blijven bouwen en de verwachte terugval van woningbouw de komende jaren te beperken. Dat is goed nieuws voor woningzoekenden want daarmee wordt voor de betreffende projecten vertraging of afstel voorkomen en</w:t>
      </w:r>
      <w:r w:rsidR="002F7C67">
        <w:t xml:space="preserve"> stagnatie tegengegaan</w:t>
      </w:r>
      <w:r>
        <w:t xml:space="preserve">. </w:t>
      </w:r>
      <w:r>
        <w:rPr>
          <w:rFonts w:cs="Verdana"/>
          <w:color w:val="auto"/>
        </w:rPr>
        <w:t xml:space="preserve">Met deze brief informeer ik u over het beoordelingsproces en over het definitieve </w:t>
      </w:r>
      <w:r w:rsidR="004D16E0">
        <w:rPr>
          <w:rFonts w:cs="Verdana"/>
          <w:color w:val="auto"/>
        </w:rPr>
        <w:t>afwegingskader</w:t>
      </w:r>
      <w:r>
        <w:rPr>
          <w:rFonts w:cs="Verdana"/>
          <w:color w:val="auto"/>
        </w:rPr>
        <w:t xml:space="preserve"> op basis waarvan gemeenten de woningbouwprojecten binnenkort kunnen aanmelden. </w:t>
      </w:r>
    </w:p>
    <w:p w14:paraId="0FCBEF98" w14:textId="77777777" w:rsidR="00683D95" w:rsidRDefault="00683D95" w:rsidP="00683D95">
      <w:pPr>
        <w:rPr>
          <w:b/>
          <w:bCs/>
        </w:rPr>
      </w:pPr>
    </w:p>
    <w:p w14:paraId="1DB364C6" w14:textId="65511BDB" w:rsidR="00683D95" w:rsidRDefault="00683D95" w:rsidP="00683D95">
      <w:pPr>
        <w:rPr>
          <w:b/>
          <w:bCs/>
        </w:rPr>
      </w:pPr>
      <w:r>
        <w:rPr>
          <w:b/>
          <w:bCs/>
        </w:rPr>
        <w:lastRenderedPageBreak/>
        <w:t>Conclusie inventarisatie: aanscherping noodzakelijk</w:t>
      </w:r>
    </w:p>
    <w:p w14:paraId="062DCF82" w14:textId="77777777" w:rsidR="00683D95" w:rsidRDefault="00683D95" w:rsidP="00683D95">
      <w:pPr>
        <w:rPr>
          <w:rFonts w:cs="Verdana"/>
          <w:color w:val="auto"/>
        </w:rPr>
      </w:pPr>
    </w:p>
    <w:p w14:paraId="267E5DF5" w14:textId="516223F0" w:rsidR="00683D95" w:rsidRDefault="00683D95" w:rsidP="00683D95">
      <w:pPr>
        <w:rPr>
          <w:b/>
          <w:bCs/>
        </w:rPr>
      </w:pPr>
      <w:r>
        <w:rPr>
          <w:rFonts w:cs="Verdana"/>
          <w:color w:val="auto"/>
        </w:rPr>
        <w:t>Met de brief</w:t>
      </w:r>
      <w:r>
        <w:rPr>
          <w:rStyle w:val="Voetnootmarkering"/>
          <w:rFonts w:cs="Verdana"/>
          <w:color w:val="auto"/>
        </w:rPr>
        <w:footnoteReference w:id="2"/>
      </w:r>
      <w:r>
        <w:rPr>
          <w:rFonts w:cs="Verdana"/>
          <w:color w:val="auto"/>
        </w:rPr>
        <w:t xml:space="preserve"> van 16 juni jl. heb ik de contouren van het </w:t>
      </w:r>
      <w:proofErr w:type="gramStart"/>
      <w:r>
        <w:rPr>
          <w:rFonts w:cs="Verdana"/>
          <w:color w:val="auto"/>
        </w:rPr>
        <w:t xml:space="preserve">SBI </w:t>
      </w:r>
      <w:r w:rsidR="004D16E0">
        <w:rPr>
          <w:rFonts w:cs="Verdana"/>
          <w:color w:val="auto"/>
        </w:rPr>
        <w:t>afwegingskader</w:t>
      </w:r>
      <w:proofErr w:type="gramEnd"/>
      <w:r>
        <w:rPr>
          <w:rFonts w:cs="Verdana"/>
          <w:color w:val="auto"/>
        </w:rPr>
        <w:t xml:space="preserve"> met uw Kamer gedeeld. Het </w:t>
      </w:r>
      <w:r w:rsidR="004D16E0">
        <w:rPr>
          <w:rFonts w:cs="Verdana"/>
          <w:color w:val="auto"/>
        </w:rPr>
        <w:t>afwegingskader</w:t>
      </w:r>
      <w:r>
        <w:rPr>
          <w:rFonts w:cs="Verdana"/>
          <w:color w:val="auto"/>
        </w:rPr>
        <w:t xml:space="preserve"> is nodig om te kunnen selecteren op de projecten die het snelst kunnen starten, waarvan de start bouw het meest zeker is, en waar met de beschikbare middelen zoveel mogelijk woningen tot start bouw worden gebracht. De snelheid, hardheid en efficiëntie zijn de drie factoren die zullen bepalen of een project in aanmerking komt voor een bijdrage.</w:t>
      </w:r>
    </w:p>
    <w:p w14:paraId="58E74E87" w14:textId="77777777" w:rsidR="00683D95" w:rsidRDefault="00683D95" w:rsidP="00683D95"/>
    <w:p w14:paraId="256E19FB" w14:textId="5C81129A" w:rsidR="00683D95" w:rsidRDefault="00683D95" w:rsidP="00683D95">
      <w:pPr>
        <w:rPr>
          <w:rFonts w:cs="Verdana"/>
          <w:color w:val="auto"/>
        </w:rPr>
      </w:pPr>
      <w:r>
        <w:t>Om de SBI doelgericht in te kunnen zetten is een set van evenwichtig samengestelde toelatings- en beoordelingscriteria van belang. Om een goede afstelling te kunnen bepalen, heb ik afgelopen zomer alle gemeenten</w:t>
      </w:r>
      <w:r w:rsidR="0056774B">
        <w:t xml:space="preserve">, </w:t>
      </w:r>
      <w:r>
        <w:t>woningcorporaties en marktpartijen</w:t>
      </w:r>
      <w:r w:rsidR="0056774B">
        <w:t xml:space="preserve"> opgeroepen</w:t>
      </w:r>
      <w:r>
        <w:t xml:space="preserve"> de projecten die in 2024 en 2025 zouden kunnen starten kenbaar te maken. Uit deze inventarisatie </w:t>
      </w:r>
      <w:r>
        <w:rPr>
          <w:rFonts w:cs="Verdana"/>
          <w:color w:val="auto"/>
        </w:rPr>
        <w:t>bleek overweldigend veel animo. De groslijst leverde 2.195 unieke aanmeldingen op vanuit 246 gemeenten, goed voor bijna 260.000 woningen, met een totaal tekort van € 3,3 miljard. Dat toont aan dat er veel potentie en wilskracht is om door te blijven bouwen, maar ook dat steun en sturing van het Rijk nodig is.</w:t>
      </w:r>
      <w:r w:rsidR="00AA5F2D">
        <w:rPr>
          <w:rFonts w:cs="Verdana"/>
          <w:color w:val="auto"/>
        </w:rPr>
        <w:t xml:space="preserve"> </w:t>
      </w:r>
      <w:bookmarkStart w:id="0" w:name="_Hlk143682112"/>
      <w:r w:rsidR="00F31414">
        <w:rPr>
          <w:rFonts w:cs="Verdana"/>
          <w:color w:val="auto"/>
        </w:rPr>
        <w:t xml:space="preserve">Uit de groslijst blijkt dat een groot deel van de projecten gereed is om te starten met bouwen. </w:t>
      </w:r>
      <w:bookmarkEnd w:id="0"/>
    </w:p>
    <w:p w14:paraId="5EB37C34" w14:textId="77777777" w:rsidR="00F31414" w:rsidRDefault="00F31414" w:rsidP="00683D95">
      <w:pPr>
        <w:rPr>
          <w:rFonts w:cs="Verdana"/>
          <w:color w:val="auto"/>
        </w:rPr>
      </w:pPr>
    </w:p>
    <w:p w14:paraId="487B8753" w14:textId="4C8AADFD" w:rsidR="00683D95" w:rsidRDefault="00683D95" w:rsidP="00683D95">
      <w:pPr>
        <w:rPr>
          <w:rFonts w:cs="Verdana"/>
          <w:color w:val="auto"/>
        </w:rPr>
      </w:pPr>
      <w:r>
        <w:rPr>
          <w:rFonts w:cs="Verdana"/>
          <w:color w:val="auto"/>
        </w:rPr>
        <w:t xml:space="preserve">Het beschikbare budget van minimaal € 250 miljoen zal naar verwachting ruimschoots ontoereikend zijn om alle aanmeldingen te voorzien van de gevraagde bijdrage. Er is noodzaak voor verdere aanscherping van </w:t>
      </w:r>
      <w:r w:rsidR="00F31414">
        <w:rPr>
          <w:rFonts w:cs="Verdana"/>
          <w:color w:val="auto"/>
        </w:rPr>
        <w:t xml:space="preserve">het afwegingskader </w:t>
      </w:r>
      <w:r w:rsidR="00F93A05">
        <w:rPr>
          <w:rFonts w:cs="Verdana"/>
          <w:color w:val="auto"/>
        </w:rPr>
        <w:t xml:space="preserve">op basis van snelheid, hardheid en efficiëntie. </w:t>
      </w:r>
      <w:r w:rsidR="0056774B">
        <w:rPr>
          <w:rFonts w:cs="Verdana"/>
          <w:color w:val="auto"/>
        </w:rPr>
        <w:t xml:space="preserve">Ik verwacht dat gemeenten alleen hun meest kansrijke projecten aanmelden. In de informatiesessies die de komende weken worden gehouden zal dit nader worden </w:t>
      </w:r>
      <w:r w:rsidR="00F31414">
        <w:rPr>
          <w:rFonts w:cs="Verdana"/>
          <w:color w:val="auto"/>
        </w:rPr>
        <w:t>toegelicht.</w:t>
      </w:r>
    </w:p>
    <w:p w14:paraId="10045C35" w14:textId="77777777" w:rsidR="00683D95" w:rsidRDefault="00683D95" w:rsidP="00683D95"/>
    <w:p w14:paraId="1252282F" w14:textId="48181CBD" w:rsidR="00683D95" w:rsidRDefault="00683D95" w:rsidP="00683D95">
      <w:pPr>
        <w:rPr>
          <w:b/>
          <w:bCs/>
        </w:rPr>
      </w:pPr>
      <w:r w:rsidRPr="00F31414">
        <w:rPr>
          <w:b/>
          <w:bCs/>
        </w:rPr>
        <w:t xml:space="preserve">Definitief </w:t>
      </w:r>
      <w:r w:rsidR="004D16E0" w:rsidRPr="00F31414">
        <w:rPr>
          <w:b/>
          <w:bCs/>
        </w:rPr>
        <w:t>afwegingskader</w:t>
      </w:r>
    </w:p>
    <w:p w14:paraId="74DC5F20" w14:textId="77777777" w:rsidR="00683D95" w:rsidRDefault="00683D95" w:rsidP="00683D95">
      <w:pPr>
        <w:rPr>
          <w:i/>
          <w:iCs/>
        </w:rPr>
      </w:pPr>
    </w:p>
    <w:p w14:paraId="6548B6DE" w14:textId="5BC30BAD" w:rsidR="00683D95" w:rsidRPr="00473FAE" w:rsidRDefault="00473FAE" w:rsidP="00683D95">
      <w:pPr>
        <w:rPr>
          <w:u w:val="single"/>
        </w:rPr>
      </w:pPr>
      <w:bookmarkStart w:id="1" w:name="_Hlk143682229"/>
      <w:r w:rsidRPr="00F31414">
        <w:rPr>
          <w:u w:val="single"/>
        </w:rPr>
        <w:t>Randvoorwaarden</w:t>
      </w:r>
      <w:r w:rsidR="00F31414">
        <w:rPr>
          <w:u w:val="single"/>
        </w:rPr>
        <w:t xml:space="preserve"> </w:t>
      </w:r>
    </w:p>
    <w:p w14:paraId="215C0940" w14:textId="66293B90" w:rsidR="00F31414" w:rsidRDefault="00D232DA" w:rsidP="00F31414">
      <w:r>
        <w:t>Voor de toelating van de aanmelding wordt getoetst op de zes eerder opgestelde randvoorwaarden</w:t>
      </w:r>
      <w:r w:rsidR="008C4F34">
        <w:t xml:space="preserve"> </w:t>
      </w:r>
      <w:bookmarkStart w:id="2" w:name="_Hlk143782007"/>
      <w:r w:rsidR="008C4F34">
        <w:t>plus twee aanvullende randvoorwaarden</w:t>
      </w:r>
      <w:bookmarkEnd w:id="2"/>
      <w:r w:rsidR="00F31414">
        <w:t xml:space="preserve">. De aanvullende </w:t>
      </w:r>
      <w:r w:rsidR="008C4F34">
        <w:t>randvoorwaarden</w:t>
      </w:r>
      <w:r w:rsidR="00F31414">
        <w:t xml:space="preserve"> </w:t>
      </w:r>
      <w:r w:rsidR="002D01A9">
        <w:t xml:space="preserve">in het afwegingskader </w:t>
      </w:r>
      <w:r w:rsidR="00F31414">
        <w:t xml:space="preserve">zijn vastgesteld op basis van de inventarisatie door rekening te houden met meerdere factoren: efficiëntie en doelmatigheid enerzijds en laagdrempeligheid anderzijds. </w:t>
      </w:r>
      <w:r w:rsidR="00C20CBB">
        <w:t>Door projecten met meer dan 10 woningen mee te laten doen en een maximale gevraagde Rijksbijdrage per bouwproject van €12.500 vast te stellen blijft de regeling laagdrempelig, maar wordt er tegelijkertijd een focus gelegd op snelle en kansrijke projecten met zoveel mogelijk woningen in de startbouw</w:t>
      </w:r>
      <w:r w:rsidR="00F31414">
        <w:t xml:space="preserve">. </w:t>
      </w:r>
    </w:p>
    <w:p w14:paraId="62DB8EE6" w14:textId="1BD16375" w:rsidR="00F31414" w:rsidRDefault="00F31414" w:rsidP="00F31414">
      <w:r>
        <w:t xml:space="preserve">Bij </w:t>
      </w:r>
      <w:bookmarkStart w:id="3" w:name="_Hlk143782048"/>
      <w:r w:rsidR="008C4F34">
        <w:t>de randvoorwaarde</w:t>
      </w:r>
      <w:r w:rsidR="002D01A9">
        <w:t xml:space="preserve"> ‘</w:t>
      </w:r>
      <w:r>
        <w:t>oplevering woningen</w:t>
      </w:r>
      <w:r w:rsidR="002D01A9">
        <w:t>’</w:t>
      </w:r>
      <w:r>
        <w:t xml:space="preserve"> </w:t>
      </w:r>
      <w:bookmarkEnd w:id="3"/>
      <w:r>
        <w:t xml:space="preserve">geldt het uitgangspunt uiterlijk 36 maanden na startbouw, behalve als een uitzonderingspositie voor langere continue bouwtijd kan worden onderbouwd binnen het project, zoals bij complexe hoogbouw projecten. </w:t>
      </w:r>
      <w:bookmarkStart w:id="4" w:name="_Hlk143782150"/>
      <w:r w:rsidR="002D01A9">
        <w:t>E</w:t>
      </w:r>
      <w:r w:rsidRPr="006D3002">
        <w:t>e</w:t>
      </w:r>
      <w:r w:rsidR="002D01A9">
        <w:t>n</w:t>
      </w:r>
      <w:r w:rsidRPr="006D3002">
        <w:t xml:space="preserve"> ui</w:t>
      </w:r>
      <w:r>
        <w:t xml:space="preserve">tzonderingspositie </w:t>
      </w:r>
      <w:r w:rsidR="002D01A9">
        <w:t xml:space="preserve">is er </w:t>
      </w:r>
      <w:r>
        <w:t>niet</w:t>
      </w:r>
      <w:r w:rsidRPr="006D3002">
        <w:t xml:space="preserve"> </w:t>
      </w:r>
      <w:r w:rsidRPr="00C175FF">
        <w:t>voor gefaseerde gebiedsontwikkelingen die langer dan 36 maanden duren</w:t>
      </w:r>
      <w:r w:rsidR="002D01A9">
        <w:t>;</w:t>
      </w:r>
      <w:r w:rsidRPr="00C175FF">
        <w:t xml:space="preserve"> het gaat alleen</w:t>
      </w:r>
      <w:r>
        <w:t xml:space="preserve"> om </w:t>
      </w:r>
      <w:r>
        <w:lastRenderedPageBreak/>
        <w:t xml:space="preserve">complexe </w:t>
      </w:r>
      <w:r w:rsidR="002419F2">
        <w:t>project</w:t>
      </w:r>
      <w:r>
        <w:t xml:space="preserve">en </w:t>
      </w:r>
      <w:r w:rsidR="002D01A9">
        <w:t xml:space="preserve">(binnen die gefaseerde gebiedsontwikkelingen) </w:t>
      </w:r>
      <w:r>
        <w:t>waarbij een continue bouwstroom kan worden aangetoond</w:t>
      </w:r>
      <w:bookmarkEnd w:id="4"/>
      <w:r>
        <w:t xml:space="preserve">. </w:t>
      </w:r>
    </w:p>
    <w:p w14:paraId="3AE512A6" w14:textId="77777777" w:rsidR="006E6FE6" w:rsidRDefault="006E6FE6" w:rsidP="00683D95"/>
    <w:p w14:paraId="319C469B" w14:textId="26AC4BCF" w:rsidR="00683D95" w:rsidRDefault="00D232DA" w:rsidP="00683D95">
      <w:r>
        <w:t xml:space="preserve">De </w:t>
      </w:r>
      <w:r w:rsidR="00F31414">
        <w:t xml:space="preserve">randvoorwaarden </w:t>
      </w:r>
      <w:r>
        <w:t>zijn:</w:t>
      </w:r>
    </w:p>
    <w:p w14:paraId="534D679F" w14:textId="77777777" w:rsidR="00683D95" w:rsidRDefault="00683D95" w:rsidP="00683D95"/>
    <w:p w14:paraId="5B8D2B42" w14:textId="77777777" w:rsidR="00683D95" w:rsidRDefault="00683D95">
      <w:pPr>
        <w:numPr>
          <w:ilvl w:val="0"/>
          <w:numId w:val="35"/>
        </w:numPr>
        <w:spacing w:line="240" w:lineRule="exact"/>
        <w:textAlignment w:val="auto"/>
      </w:pPr>
      <w:r>
        <w:t>Startbouw woningen uiterlijk in 2024/2025</w:t>
      </w:r>
      <w:r>
        <w:rPr>
          <w:rStyle w:val="Voetnootmarkering"/>
          <w:bCs/>
        </w:rPr>
        <w:footnoteReference w:id="3"/>
      </w:r>
    </w:p>
    <w:p w14:paraId="51C15D6A" w14:textId="6E08B568" w:rsidR="00683D95" w:rsidRDefault="00683D95">
      <w:pPr>
        <w:numPr>
          <w:ilvl w:val="0"/>
          <w:numId w:val="35"/>
        </w:numPr>
        <w:spacing w:line="240" w:lineRule="exact"/>
        <w:textAlignment w:val="auto"/>
      </w:pPr>
      <w:r>
        <w:t>Oplevering woningen uiterlijk 36 maanden na start bouw (2027/2028)</w:t>
      </w:r>
      <w:r w:rsidR="00A60D41">
        <w:t xml:space="preserve">, </w:t>
      </w:r>
      <w:r w:rsidR="000D710A">
        <w:t xml:space="preserve">Nieuw: </w:t>
      </w:r>
      <w:r w:rsidR="00A60D41">
        <w:t>behalve als een uitzonderingspositie voor langere</w:t>
      </w:r>
      <w:r w:rsidR="00DC7B13">
        <w:t xml:space="preserve"> continue</w:t>
      </w:r>
      <w:r w:rsidR="00A60D41">
        <w:t xml:space="preserve"> bouwtijd kan worden onderbouwd</w:t>
      </w:r>
      <w:r w:rsidR="00473FAE">
        <w:t xml:space="preserve">, </w:t>
      </w:r>
      <w:r w:rsidR="00A60D41">
        <w:t xml:space="preserve">bijv. bij complexe </w:t>
      </w:r>
      <w:r w:rsidR="004D2826">
        <w:t xml:space="preserve">niet faseerbare </w:t>
      </w:r>
      <w:r w:rsidR="00A60D41">
        <w:t>hoogbouw</w:t>
      </w:r>
      <w:r w:rsidR="00792689">
        <w:t>projecten</w:t>
      </w:r>
      <w:r w:rsidR="004D2826">
        <w:t>.</w:t>
      </w:r>
    </w:p>
    <w:p w14:paraId="02298E91" w14:textId="77777777" w:rsidR="00683D95" w:rsidRDefault="00683D95">
      <w:pPr>
        <w:numPr>
          <w:ilvl w:val="0"/>
          <w:numId w:val="35"/>
        </w:numPr>
        <w:spacing w:line="240" w:lineRule="exact"/>
        <w:textAlignment w:val="auto"/>
      </w:pPr>
      <w:r>
        <w:t>Het betreft permanente woningbouw</w:t>
      </w:r>
    </w:p>
    <w:p w14:paraId="0F4F091A" w14:textId="535F04B8" w:rsidR="00683D95" w:rsidRDefault="00683D95">
      <w:pPr>
        <w:numPr>
          <w:ilvl w:val="0"/>
          <w:numId w:val="35"/>
        </w:numPr>
        <w:spacing w:line="240" w:lineRule="exact"/>
        <w:textAlignment w:val="auto"/>
      </w:pPr>
      <w:r>
        <w:t>Aandeel betaalbare woningen</w:t>
      </w:r>
      <w:r>
        <w:rPr>
          <w:rStyle w:val="Voetnootmarkering"/>
          <w:bCs/>
        </w:rPr>
        <w:footnoteReference w:id="4"/>
      </w:r>
      <w:r>
        <w:rPr>
          <w:bCs/>
        </w:rPr>
        <w:t xml:space="preserve"> </w:t>
      </w:r>
      <w:r>
        <w:t>is minimaal 50%</w:t>
      </w:r>
    </w:p>
    <w:p w14:paraId="661CD54E" w14:textId="7F44EADF" w:rsidR="00683D95" w:rsidRDefault="00683D95">
      <w:pPr>
        <w:numPr>
          <w:ilvl w:val="0"/>
          <w:numId w:val="35"/>
        </w:numPr>
        <w:spacing w:line="240" w:lineRule="exact"/>
        <w:textAlignment w:val="auto"/>
      </w:pPr>
      <w:r>
        <w:t xml:space="preserve">Juridische zekerheid ten behoeve van de zekerheid van start bouw, bijvoorbeeld een onherroepelijk bestemmingsplan, </w:t>
      </w:r>
      <w:r>
        <w:rPr>
          <w:bCs/>
        </w:rPr>
        <w:t>afspraken met aannemer</w:t>
      </w:r>
      <w:r>
        <w:t xml:space="preserve">, </w:t>
      </w:r>
      <w:r>
        <w:rPr>
          <w:bCs/>
        </w:rPr>
        <w:t>afspraken met afnemers</w:t>
      </w:r>
      <w:r>
        <w:t xml:space="preserve">, </w:t>
      </w:r>
      <w:r>
        <w:rPr>
          <w:bCs/>
        </w:rPr>
        <w:t>status bestemmingsplan en/of omgevingsvergunning</w:t>
      </w:r>
      <w:r>
        <w:t xml:space="preserve">, </w:t>
      </w:r>
      <w:r>
        <w:rPr>
          <w:bCs/>
        </w:rPr>
        <w:t>hardheid afspraken tussen gemeente en ontwikkelaar over start bouw bij toekenning SBI</w:t>
      </w:r>
      <w:r w:rsidR="0056774B">
        <w:rPr>
          <w:bCs/>
        </w:rPr>
        <w:t>. Nadere omschrijving van wat gevraagd wordt, is onderdeel van de aanvraagdocumentatie</w:t>
      </w:r>
    </w:p>
    <w:p w14:paraId="7B2FFE47" w14:textId="23EE6A65" w:rsidR="00683D95" w:rsidRDefault="00683D95">
      <w:pPr>
        <w:numPr>
          <w:ilvl w:val="0"/>
          <w:numId w:val="35"/>
        </w:numPr>
        <w:spacing w:line="240" w:lineRule="exact"/>
        <w:textAlignment w:val="auto"/>
      </w:pPr>
      <w:r>
        <w:t>De betrokken ontwikkelaar/woningcorporatie onderschrijft de aanmelding</w:t>
      </w:r>
    </w:p>
    <w:p w14:paraId="7B3AEE0A" w14:textId="3D37439D" w:rsidR="00683D95" w:rsidRDefault="00683D95">
      <w:pPr>
        <w:numPr>
          <w:ilvl w:val="0"/>
          <w:numId w:val="35"/>
        </w:numPr>
        <w:spacing w:line="240" w:lineRule="exact"/>
        <w:textAlignment w:val="auto"/>
      </w:pPr>
      <w:r>
        <w:t>Nieuw: de aanmelding betreft meer dan 10 woningen per bouwproject</w:t>
      </w:r>
    </w:p>
    <w:p w14:paraId="1ECAE667" w14:textId="3FC36A8E" w:rsidR="00683D95" w:rsidRDefault="00683D95">
      <w:pPr>
        <w:numPr>
          <w:ilvl w:val="0"/>
          <w:numId w:val="35"/>
        </w:numPr>
        <w:spacing w:line="240" w:lineRule="exact"/>
        <w:textAlignment w:val="auto"/>
      </w:pPr>
      <w:r>
        <w:t>Nieuw: de maximale gevraagde Rijsbijdrage per woning is vastgesteld op €12.500</w:t>
      </w:r>
      <w:r w:rsidR="001874F3">
        <w:t xml:space="preserve"> incl. BTW</w:t>
      </w:r>
      <w:r>
        <w:t xml:space="preserve"> </w:t>
      </w:r>
    </w:p>
    <w:p w14:paraId="2A2DC3F3" w14:textId="77777777" w:rsidR="008C4F34" w:rsidRDefault="008C4F34" w:rsidP="00E976C2">
      <w:pPr>
        <w:rPr>
          <w:rFonts w:cs="Verdana"/>
          <w:color w:val="auto"/>
        </w:rPr>
      </w:pPr>
    </w:p>
    <w:p w14:paraId="6EAFF1CC" w14:textId="77777777" w:rsidR="000C4BF9" w:rsidRPr="00CF292C" w:rsidRDefault="000C4BF9" w:rsidP="000C4BF9">
      <w:pPr>
        <w:rPr>
          <w:rFonts w:cs="Verdana"/>
          <w:color w:val="auto"/>
          <w:u w:val="single"/>
        </w:rPr>
      </w:pPr>
      <w:r w:rsidRPr="00CF292C">
        <w:rPr>
          <w:rFonts w:cs="Verdana"/>
          <w:color w:val="auto"/>
          <w:u w:val="single"/>
        </w:rPr>
        <w:t>Regionale spreiding</w:t>
      </w:r>
    </w:p>
    <w:p w14:paraId="6EDC1CFD" w14:textId="02780909" w:rsidR="000C4BF9" w:rsidRDefault="000C4BF9" w:rsidP="000C4BF9">
      <w:pPr>
        <w:rPr>
          <w:rFonts w:cs="Verdana"/>
          <w:color w:val="auto"/>
        </w:rPr>
      </w:pPr>
      <w:r>
        <w:rPr>
          <w:rFonts w:cs="Verdana"/>
          <w:color w:val="auto"/>
        </w:rPr>
        <w:t xml:space="preserve">Om de totale woningbouwopgave te kunnen realiseren is het van belang dat iedere regio meedoet. </w:t>
      </w:r>
      <w:r w:rsidR="00DF5D28" w:rsidRPr="00DF5D28">
        <w:rPr>
          <w:rFonts w:cs="Verdana"/>
          <w:color w:val="auto"/>
        </w:rPr>
        <w:t>Om te faciliteren dat ook kleinere regio’s mee kunnen doen is de drempel voor projecten dat ze meer dan 10 woningen moeten bevatten</w:t>
      </w:r>
      <w:r>
        <w:rPr>
          <w:rFonts w:cs="Verdana"/>
          <w:color w:val="auto"/>
        </w:rPr>
        <w:t xml:space="preserve">. Vanaf 30 augustus zijn vijf regionale sessies gepland in aanwezigheid van RVO-woningbouwexperts voor nadere toelichting en onderstening. Met het oog op een evenwichtige regionale spreiding kan een woondealregio maximaal 16% van het totale beschikbare budget benutten. </w:t>
      </w:r>
      <w:r w:rsidRPr="00F31414">
        <w:t>De woondealregio met de grootste woningbouwopgave heeft namelijk een aandeel van 16% van de totale Nederlandse woningbouwopgave.</w:t>
      </w:r>
    </w:p>
    <w:p w14:paraId="2BB2B096" w14:textId="77777777" w:rsidR="008C4F34" w:rsidRDefault="008C4F34" w:rsidP="00E976C2">
      <w:pPr>
        <w:rPr>
          <w:b/>
          <w:bCs/>
          <w:u w:val="single"/>
        </w:rPr>
      </w:pPr>
    </w:p>
    <w:p w14:paraId="687CAAFF" w14:textId="45FD9983" w:rsidR="00E976C2" w:rsidRPr="00473FAE" w:rsidRDefault="00C21B23" w:rsidP="00E976C2">
      <w:pPr>
        <w:rPr>
          <w:u w:val="single"/>
        </w:rPr>
      </w:pPr>
      <w:bookmarkStart w:id="5" w:name="_Hlk143175332"/>
      <w:r>
        <w:rPr>
          <w:u w:val="single"/>
        </w:rPr>
        <w:t>Aanmelding</w:t>
      </w:r>
    </w:p>
    <w:p w14:paraId="676E14CF" w14:textId="36495E84" w:rsidR="00E976C2" w:rsidRDefault="00E976C2" w:rsidP="00E976C2">
      <w:r>
        <w:t xml:space="preserve">Gemeenten kunnen zich tot uiterlijk </w:t>
      </w:r>
      <w:r w:rsidR="00461284">
        <w:t>13</w:t>
      </w:r>
      <w:r>
        <w:t xml:space="preserve"> oktober</w:t>
      </w:r>
      <w:r w:rsidR="00AA5F2D">
        <w:t xml:space="preserve"> </w:t>
      </w:r>
      <w:r>
        <w:t>aanstaande aanmelden voor de specifieke uitkering (SPUK), waarna direct het beoordelingsproces zal starten. De bijdragen worden direct nadat de regeling in werking treedt</w:t>
      </w:r>
      <w:r w:rsidR="00A63841">
        <w:t xml:space="preserve"> uitgekeerd</w:t>
      </w:r>
      <w:r>
        <w:t>.</w:t>
      </w:r>
    </w:p>
    <w:p w14:paraId="4ABFC487" w14:textId="59F2EBBC" w:rsidR="00E976C2" w:rsidRDefault="00E976C2" w:rsidP="00E976C2">
      <w:pPr>
        <w:rPr>
          <w:b/>
          <w:bCs/>
        </w:rPr>
      </w:pPr>
    </w:p>
    <w:p w14:paraId="574A5FF7" w14:textId="482D0DC1" w:rsidR="00473FAE" w:rsidRPr="00473FAE" w:rsidRDefault="00473FAE" w:rsidP="00E976C2">
      <w:pPr>
        <w:rPr>
          <w:u w:val="single"/>
        </w:rPr>
      </w:pPr>
      <w:r>
        <w:rPr>
          <w:u w:val="single"/>
        </w:rPr>
        <w:lastRenderedPageBreak/>
        <w:t>Beoordelingsproces</w:t>
      </w:r>
    </w:p>
    <w:p w14:paraId="7AF39E0A" w14:textId="4F5F576F" w:rsidR="00E976C2" w:rsidRDefault="00473FAE" w:rsidP="00E976C2">
      <w:r>
        <w:t xml:space="preserve">In de </w:t>
      </w:r>
      <w:r w:rsidR="0065299F">
        <w:t xml:space="preserve">vier weken na indiening zal </w:t>
      </w:r>
      <w:r w:rsidR="002D01A9">
        <w:t xml:space="preserve">de </w:t>
      </w:r>
      <w:r w:rsidR="0065299F">
        <w:t>beoordeling</w:t>
      </w:r>
      <w:r>
        <w:t xml:space="preserve"> plaatsvinden. </w:t>
      </w:r>
      <w:r w:rsidR="00E976C2">
        <w:t xml:space="preserve">Het beoordelingsproces bestaat uit drie onderstaande stappen: </w:t>
      </w:r>
    </w:p>
    <w:p w14:paraId="348EC829" w14:textId="77777777" w:rsidR="00473FAE" w:rsidRDefault="00473FAE" w:rsidP="00E976C2"/>
    <w:p w14:paraId="6F02E7A1" w14:textId="315D4BA0" w:rsidR="00E976C2" w:rsidRDefault="00FB24DF" w:rsidP="00E976C2">
      <w:pPr>
        <w:pStyle w:val="Lijstalinea"/>
        <w:numPr>
          <w:ilvl w:val="0"/>
          <w:numId w:val="36"/>
        </w:numPr>
      </w:pPr>
      <w:r>
        <w:t>I</w:t>
      </w:r>
      <w:r w:rsidR="00E976C2">
        <w:t xml:space="preserve">n stap 1 wordt getoetst of het project voldoet aan </w:t>
      </w:r>
      <w:r w:rsidR="00473FAE">
        <w:t xml:space="preserve">de </w:t>
      </w:r>
      <w:r w:rsidR="00E976C2">
        <w:t xml:space="preserve">gestelde randvoorwaarden. </w:t>
      </w:r>
    </w:p>
    <w:p w14:paraId="5D7D1162" w14:textId="026ADD45" w:rsidR="00E976C2" w:rsidRDefault="00E976C2" w:rsidP="00E976C2">
      <w:pPr>
        <w:pStyle w:val="Lijstalinea"/>
        <w:numPr>
          <w:ilvl w:val="0"/>
          <w:numId w:val="36"/>
        </w:numPr>
      </w:pPr>
      <w:r>
        <w:t>In stap 2 wordt getoetst hoe het project scoort op de aspecten snelheid, hardheid en efficiëntie aan de hand van een puntenstelsel. Dit leidt tot een rangorde.</w:t>
      </w:r>
      <w:r w:rsidR="00473FAE">
        <w:t xml:space="preserve"> P</w:t>
      </w:r>
      <w:r w:rsidR="00473FAE" w:rsidRPr="00473FAE">
        <w:t>rojecten</w:t>
      </w:r>
      <w:r w:rsidR="00473FAE">
        <w:t xml:space="preserve"> zullen</w:t>
      </w:r>
      <w:r w:rsidR="00473FAE" w:rsidRPr="00473FAE">
        <w:t xml:space="preserve"> </w:t>
      </w:r>
      <w:r w:rsidR="00DC7B13">
        <w:t>hoger scoren</w:t>
      </w:r>
      <w:r w:rsidR="00473FAE" w:rsidRPr="00473FAE">
        <w:t xml:space="preserve"> </w:t>
      </w:r>
      <w:proofErr w:type="gramStart"/>
      <w:r w:rsidR="00473FAE" w:rsidRPr="00473FAE">
        <w:t>indien</w:t>
      </w:r>
      <w:proofErr w:type="gramEnd"/>
      <w:r w:rsidR="00473FAE" w:rsidRPr="00473FAE">
        <w:t xml:space="preserve"> zij snel starten, een grote (juridische) zekerheid hebben van start bouw op het gestelde moment en een lage gevraagde Rijksbijdrage per woning hebben. Op basis van een puntenstelsel volgt een ranglijst.</w:t>
      </w:r>
    </w:p>
    <w:p w14:paraId="799DB768" w14:textId="07C528D5" w:rsidR="00E976C2" w:rsidRDefault="00E976C2" w:rsidP="0064400C">
      <w:pPr>
        <w:pStyle w:val="Lijstalinea"/>
        <w:numPr>
          <w:ilvl w:val="0"/>
          <w:numId w:val="36"/>
        </w:numPr>
      </w:pPr>
      <w:r>
        <w:t xml:space="preserve">In stap 3 beoordeelt </w:t>
      </w:r>
      <w:r w:rsidRPr="002F7C67">
        <w:t xml:space="preserve">een beoordelingsteam </w:t>
      </w:r>
      <w:r w:rsidR="00DC7B13" w:rsidRPr="002F7C67">
        <w:t>van</w:t>
      </w:r>
      <w:r w:rsidR="00DC7B13">
        <w:t xml:space="preserve"> experts </w:t>
      </w:r>
      <w:r>
        <w:t>de gestelde ranking</w:t>
      </w:r>
      <w:r w:rsidR="0064400C">
        <w:t xml:space="preserve"> en brengt advies uit. Het beoordelingsteam houdt rekening met d</w:t>
      </w:r>
      <w:r>
        <w:t>iverse projectkenmerken</w:t>
      </w:r>
      <w:r w:rsidR="0064400C">
        <w:t xml:space="preserve">, </w:t>
      </w:r>
      <w:r w:rsidR="00DC7B13" w:rsidRPr="00DC7B13">
        <w:t>o.a.</w:t>
      </w:r>
      <w:r w:rsidR="0064400C">
        <w:t xml:space="preserve"> </w:t>
      </w:r>
      <w:r w:rsidR="0064400C" w:rsidRPr="00DC7B13">
        <w:t>doelmatigheid</w:t>
      </w:r>
      <w:r w:rsidR="0064400C">
        <w:t>,</w:t>
      </w:r>
      <w:r w:rsidR="00DC7B13" w:rsidRPr="00DC7B13">
        <w:t xml:space="preserve"> </w:t>
      </w:r>
      <w:r w:rsidR="0064400C">
        <w:t xml:space="preserve">de </w:t>
      </w:r>
      <w:r w:rsidR="00DC7B13" w:rsidRPr="00DC7B13">
        <w:t>eigen bijdrage vanuit het project en de business case, regionale spreiding, bevordering van andere projecten</w:t>
      </w:r>
      <w:r w:rsidR="00075276">
        <w:t xml:space="preserve"> etc.</w:t>
      </w:r>
      <w:r w:rsidR="00F31414">
        <w:t xml:space="preserve"> </w:t>
      </w:r>
      <w:r w:rsidR="00F31414" w:rsidRPr="00F31414">
        <w:t>Een woondealregio kan maximaal 16% van totaal beschikbare budget benutten. De woondealregio met de grootste woningbouwopgave heeft namelijk een aandeel van 16% van de totale Nederlandse woningbouwopgave. Deze maximering wordt toegepast met het oog op een evenwichtige regionale spreiding.</w:t>
      </w:r>
    </w:p>
    <w:p w14:paraId="40BD879A" w14:textId="77777777" w:rsidR="005835B7" w:rsidRDefault="005835B7" w:rsidP="005835B7"/>
    <w:p w14:paraId="66FBD887" w14:textId="77777777" w:rsidR="00FB6560" w:rsidRDefault="00FB6560" w:rsidP="00FB6560">
      <w:pPr>
        <w:pStyle w:val="Lijstalinea"/>
      </w:pPr>
    </w:p>
    <w:bookmarkEnd w:id="1"/>
    <w:p w14:paraId="3291F75C" w14:textId="32963BBC" w:rsidR="00E976C2" w:rsidRDefault="00DF72F9" w:rsidP="00E976C2">
      <w:pPr>
        <w:rPr>
          <w:b/>
          <w:bCs/>
        </w:rPr>
      </w:pPr>
      <w:r>
        <w:rPr>
          <w:b/>
          <w:bCs/>
          <w:noProof/>
        </w:rPr>
        <w:drawing>
          <wp:inline distT="0" distB="0" distL="0" distR="0" wp14:anchorId="549B096F" wp14:editId="56501754">
            <wp:extent cx="5865958" cy="3013130"/>
            <wp:effectExtent l="0" t="0" r="190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4508" cy="3022659"/>
                    </a:xfrm>
                    <a:prstGeom prst="rect">
                      <a:avLst/>
                    </a:prstGeom>
                    <a:noFill/>
                  </pic:spPr>
                </pic:pic>
              </a:graphicData>
            </a:graphic>
          </wp:inline>
        </w:drawing>
      </w:r>
    </w:p>
    <w:bookmarkEnd w:id="5"/>
    <w:p w14:paraId="6BB5D12E" w14:textId="77777777" w:rsidR="00E976C2" w:rsidRDefault="00E976C2" w:rsidP="00E976C2">
      <w:pPr>
        <w:rPr>
          <w:bCs/>
        </w:rPr>
      </w:pPr>
    </w:p>
    <w:p w14:paraId="2B717A7B" w14:textId="77777777" w:rsidR="005835B7" w:rsidRDefault="005835B7" w:rsidP="00C43F6F">
      <w:pPr>
        <w:autoSpaceDN/>
        <w:spacing w:line="240" w:lineRule="auto"/>
        <w:rPr>
          <w:rFonts w:eastAsia="Times New Roman"/>
        </w:rPr>
      </w:pPr>
    </w:p>
    <w:p w14:paraId="0E6A11F7" w14:textId="172CAAA6" w:rsidR="00C43F6F" w:rsidRDefault="00C43F6F" w:rsidP="00C43F6F">
      <w:pPr>
        <w:autoSpaceDN/>
        <w:spacing w:line="240" w:lineRule="auto"/>
        <w:rPr>
          <w:rFonts w:eastAsia="Times New Roman"/>
        </w:rPr>
      </w:pPr>
      <w:bookmarkStart w:id="6" w:name="_Hlk143702710"/>
      <w:proofErr w:type="gramStart"/>
      <w:r>
        <w:rPr>
          <w:rFonts w:eastAsia="Times New Roman"/>
        </w:rPr>
        <w:t>I</w:t>
      </w:r>
      <w:r w:rsidRPr="00C43F6F">
        <w:rPr>
          <w:rFonts w:eastAsia="Times New Roman"/>
        </w:rPr>
        <w:t>ndien</w:t>
      </w:r>
      <w:proofErr w:type="gramEnd"/>
      <w:r w:rsidRPr="00C43F6F">
        <w:rPr>
          <w:rFonts w:eastAsia="Times New Roman"/>
        </w:rPr>
        <w:t xml:space="preserve"> dat in het belang is van het doel van deze regeling</w:t>
      </w:r>
      <w:r>
        <w:rPr>
          <w:rFonts w:eastAsia="Times New Roman"/>
        </w:rPr>
        <w:t xml:space="preserve">, kan ik </w:t>
      </w:r>
      <w:r w:rsidRPr="00C43F6F">
        <w:rPr>
          <w:rFonts w:eastAsia="Times New Roman"/>
        </w:rPr>
        <w:t xml:space="preserve">besluiten om af te wijken van de rangschikking die volgt uit het advies van </w:t>
      </w:r>
      <w:r>
        <w:rPr>
          <w:rFonts w:eastAsia="Times New Roman"/>
        </w:rPr>
        <w:t>het beoordelingsteam.  Door</w:t>
      </w:r>
      <w:r w:rsidRPr="00C43F6F">
        <w:rPr>
          <w:rFonts w:eastAsia="Times New Roman"/>
        </w:rPr>
        <w:t xml:space="preserve"> alle aanvragen in samenhang</w:t>
      </w:r>
      <w:r>
        <w:rPr>
          <w:rFonts w:eastAsia="Times New Roman"/>
        </w:rPr>
        <w:t xml:space="preserve"> te</w:t>
      </w:r>
      <w:r w:rsidRPr="00C43F6F">
        <w:rPr>
          <w:rFonts w:eastAsia="Times New Roman"/>
        </w:rPr>
        <w:t xml:space="preserve"> bezien, bijvoorbeeld met oog op een rechtvaardige regionale spreiding van middelen, en ook andere redenen, in het </w:t>
      </w:r>
      <w:r w:rsidRPr="00C43F6F">
        <w:rPr>
          <w:rFonts w:eastAsia="Times New Roman"/>
        </w:rPr>
        <w:lastRenderedPageBreak/>
        <w:t xml:space="preserve">licht van de zwaarte van de regionale </w:t>
      </w:r>
      <w:r w:rsidR="005835B7">
        <w:rPr>
          <w:rFonts w:eastAsia="Times New Roman"/>
        </w:rPr>
        <w:t>opgave</w:t>
      </w:r>
      <w:r w:rsidR="005C35E1">
        <w:rPr>
          <w:rFonts w:eastAsia="Times New Roman"/>
        </w:rPr>
        <w:t>,</w:t>
      </w:r>
      <w:r w:rsidR="005835B7">
        <w:rPr>
          <w:rFonts w:eastAsia="Times New Roman"/>
        </w:rPr>
        <w:t xml:space="preserve"> kan ik</w:t>
      </w:r>
      <w:r w:rsidRPr="00C43F6F">
        <w:rPr>
          <w:rFonts w:eastAsia="Times New Roman"/>
        </w:rPr>
        <w:t xml:space="preserve"> een afwijkende inschatting maken, en op grond daarvan de volgorde van de rangschikking aanpassen.</w:t>
      </w:r>
    </w:p>
    <w:p w14:paraId="279B67C4" w14:textId="43B4CEA0" w:rsidR="00AF1D12" w:rsidRDefault="00AF1D12" w:rsidP="00C43F6F">
      <w:pPr>
        <w:autoSpaceDN/>
        <w:spacing w:line="240" w:lineRule="auto"/>
        <w:rPr>
          <w:rFonts w:eastAsia="Times New Roman"/>
        </w:rPr>
      </w:pPr>
    </w:p>
    <w:bookmarkEnd w:id="6"/>
    <w:p w14:paraId="0A02E664" w14:textId="0751AAB3" w:rsidR="00683D95" w:rsidRDefault="00AF1D12" w:rsidP="00683D95">
      <w:pPr>
        <w:rPr>
          <w:b/>
          <w:bCs/>
        </w:rPr>
      </w:pPr>
      <w:r>
        <w:rPr>
          <w:b/>
          <w:bCs/>
        </w:rPr>
        <w:t>T</w:t>
      </w:r>
      <w:r w:rsidR="00683D95">
        <w:rPr>
          <w:b/>
          <w:bCs/>
        </w:rPr>
        <w:t>ot slot</w:t>
      </w:r>
    </w:p>
    <w:p w14:paraId="2DFBDA3B" w14:textId="563D2802" w:rsidR="00683D95" w:rsidRDefault="00D232DA" w:rsidP="00683D95">
      <w:r>
        <w:t>Het Rijk zet zich in om de woningbouwproductie langdurig en structureel op peil te brengen om te voldoen aan de behoefte aan met name betaalbare woningen.</w:t>
      </w:r>
      <w:r w:rsidR="008C4F34" w:rsidRPr="008C4F34">
        <w:t xml:space="preserve"> </w:t>
      </w:r>
      <w:r w:rsidR="008C4F34">
        <w:t xml:space="preserve">Daar waar nodig, helpt de SBI bij het rondkrijgen van de business case waarmee dreigend uitstel of afstel door de huidige economische omstandigheden wordt voorkomen. </w:t>
      </w:r>
      <w:r w:rsidR="00683D95">
        <w:rPr>
          <w:rFonts w:cs="Verdana"/>
          <w:color w:val="auto"/>
        </w:rPr>
        <w:t xml:space="preserve">De komende weken zijn gemeenten aan zet om de meest kansrijke projecten die ondersteuning vanuit de SBI nodig hebben aan te melden. </w:t>
      </w:r>
    </w:p>
    <w:p w14:paraId="4E41EAE2" w14:textId="77777777" w:rsidR="00D232DA" w:rsidRDefault="00D232DA" w:rsidP="00683D95"/>
    <w:p w14:paraId="61C4FCA7" w14:textId="1A2417C1" w:rsidR="000465D2" w:rsidRPr="00683D95" w:rsidRDefault="00683D95" w:rsidP="00683D95">
      <w:r>
        <w:t>De minister voor Volkshuisvesting en Ruimtelijke Ordening,</w:t>
      </w:r>
      <w:r>
        <w:br/>
      </w:r>
      <w:r>
        <w:br/>
      </w:r>
      <w:r>
        <w:br/>
      </w:r>
      <w:r>
        <w:br/>
      </w:r>
      <w:r>
        <w:br/>
      </w:r>
      <w:r>
        <w:br/>
      </w:r>
      <w:r>
        <w:br/>
        <w:t>Hugo de Jonge</w:t>
      </w:r>
    </w:p>
    <w:sectPr w:rsidR="000465D2" w:rsidRPr="00683D95">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paperSrc w:first="4" w:other="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F5F7" w14:textId="77777777" w:rsidR="00EE2394" w:rsidRDefault="00EE2394">
      <w:pPr>
        <w:spacing w:line="240" w:lineRule="auto"/>
      </w:pPr>
      <w:r>
        <w:separator/>
      </w:r>
    </w:p>
  </w:endnote>
  <w:endnote w:type="continuationSeparator" w:id="0">
    <w:p w14:paraId="29B977CF" w14:textId="77777777" w:rsidR="00EE2394" w:rsidRDefault="00EE2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72EC" w14:textId="77777777" w:rsidR="00FA5C6A" w:rsidRDefault="00FA5C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E0E1" w14:textId="77777777" w:rsidR="00FA5C6A" w:rsidRDefault="00FA5C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F852" w14:textId="77777777" w:rsidR="000465D2" w:rsidRDefault="000465D2">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8AA8" w14:textId="77777777" w:rsidR="00EE2394" w:rsidRDefault="00EE2394">
      <w:pPr>
        <w:spacing w:line="240" w:lineRule="auto"/>
      </w:pPr>
      <w:r>
        <w:separator/>
      </w:r>
    </w:p>
  </w:footnote>
  <w:footnote w:type="continuationSeparator" w:id="0">
    <w:p w14:paraId="732073C1" w14:textId="77777777" w:rsidR="00EE2394" w:rsidRDefault="00EE2394">
      <w:pPr>
        <w:spacing w:line="240" w:lineRule="auto"/>
      </w:pPr>
      <w:r>
        <w:continuationSeparator/>
      </w:r>
    </w:p>
  </w:footnote>
  <w:footnote w:id="1">
    <w:p w14:paraId="4EA8A283" w14:textId="4FB7C947" w:rsidR="0011476C" w:rsidRPr="0011476C" w:rsidRDefault="00AC4EF5">
      <w:pPr>
        <w:pStyle w:val="Voetnoottekst"/>
        <w:rPr>
          <w:sz w:val="16"/>
          <w:szCs w:val="16"/>
        </w:rPr>
      </w:pPr>
      <w:r>
        <w:rPr>
          <w:rStyle w:val="Voetnootmarkering"/>
        </w:rPr>
        <w:footnoteRef/>
      </w:r>
      <w:r w:rsidRPr="00B04059">
        <w:t xml:space="preserve"> </w:t>
      </w:r>
      <w:r w:rsidR="00B04059" w:rsidRPr="006E6FE6">
        <w:rPr>
          <w:sz w:val="14"/>
          <w:szCs w:val="14"/>
        </w:rPr>
        <w:t xml:space="preserve">Kamerbrief 12 juli 2023, </w:t>
      </w:r>
      <w:proofErr w:type="gramStart"/>
      <w:r w:rsidR="00B04059" w:rsidRPr="006E6FE6">
        <w:rPr>
          <w:sz w:val="14"/>
          <w:szCs w:val="14"/>
        </w:rPr>
        <w:t>ABF rapportages</w:t>
      </w:r>
      <w:proofErr w:type="gramEnd"/>
      <w:r w:rsidR="00B04059" w:rsidRPr="006E6FE6">
        <w:rPr>
          <w:sz w:val="14"/>
          <w:szCs w:val="14"/>
        </w:rPr>
        <w:t xml:space="preserve"> PRIMOS en plancapaciteit en betekenis voor de bouwopgave, </w:t>
      </w:r>
      <w:r w:rsidR="00B04059" w:rsidRPr="006E6FE6">
        <w:rPr>
          <w:sz w:val="14"/>
          <w:szCs w:val="14"/>
        </w:rPr>
        <w:fldChar w:fldCharType="begin"/>
      </w:r>
      <w:r w:rsidR="00B04059" w:rsidRPr="006E6FE6">
        <w:rPr>
          <w:sz w:val="14"/>
          <w:szCs w:val="14"/>
        </w:rPr>
        <w:instrText xml:space="preserve"> DOCPROPERTY  "Kenmerk"  \* MERGEFORMAT </w:instrText>
      </w:r>
      <w:r w:rsidR="00B04059" w:rsidRPr="006E6FE6">
        <w:rPr>
          <w:sz w:val="14"/>
          <w:szCs w:val="14"/>
        </w:rPr>
        <w:fldChar w:fldCharType="separate"/>
      </w:r>
      <w:r w:rsidR="00B04059" w:rsidRPr="006E6FE6">
        <w:rPr>
          <w:sz w:val="14"/>
          <w:szCs w:val="14"/>
        </w:rPr>
        <w:t>2023-0000</w:t>
      </w:r>
      <w:r w:rsidR="00B04059" w:rsidRPr="006E6FE6">
        <w:rPr>
          <w:sz w:val="14"/>
          <w:szCs w:val="14"/>
        </w:rPr>
        <w:fldChar w:fldCharType="end"/>
      </w:r>
      <w:r w:rsidR="00B04059" w:rsidRPr="006E6FE6">
        <w:rPr>
          <w:sz w:val="14"/>
          <w:szCs w:val="14"/>
        </w:rPr>
        <w:t>417205</w:t>
      </w:r>
      <w:r w:rsidR="0011476C" w:rsidRPr="006E6FE6">
        <w:rPr>
          <w:sz w:val="14"/>
          <w:szCs w:val="14"/>
        </w:rPr>
        <w:t>.</w:t>
      </w:r>
    </w:p>
  </w:footnote>
  <w:footnote w:id="2">
    <w:p w14:paraId="76E07CBB" w14:textId="2D4069A3" w:rsidR="00683D95" w:rsidRPr="008C0240" w:rsidRDefault="00683D95" w:rsidP="008C0240">
      <w:pPr>
        <w:pStyle w:val="Referentiegegevens"/>
        <w:rPr>
          <w:sz w:val="18"/>
          <w:szCs w:val="18"/>
        </w:rPr>
      </w:pPr>
      <w:r>
        <w:rPr>
          <w:rStyle w:val="Voetnootmarkering"/>
        </w:rPr>
        <w:footnoteRef/>
      </w:r>
      <w:r>
        <w:t xml:space="preserve"> </w:t>
      </w:r>
      <w:r w:rsidRPr="006E6FE6">
        <w:rPr>
          <w:sz w:val="14"/>
          <w:szCs w:val="14"/>
        </w:rPr>
        <w:t xml:space="preserve">Kamerbrief 16 juni 2023, </w:t>
      </w:r>
      <w:r w:rsidRPr="006E6FE6">
        <w:rPr>
          <w:sz w:val="14"/>
          <w:szCs w:val="14"/>
        </w:rPr>
        <w:fldChar w:fldCharType="begin"/>
      </w:r>
      <w:r w:rsidRPr="006E6FE6">
        <w:rPr>
          <w:sz w:val="14"/>
          <w:szCs w:val="14"/>
        </w:rPr>
        <w:instrText xml:space="preserve"> DOCPROPERTY  "Onderwerp"  \* MERGEFORMAT </w:instrText>
      </w:r>
      <w:r w:rsidRPr="006E6FE6">
        <w:rPr>
          <w:sz w:val="14"/>
          <w:szCs w:val="14"/>
        </w:rPr>
        <w:fldChar w:fldCharType="separate"/>
      </w:r>
      <w:r w:rsidRPr="006E6FE6">
        <w:rPr>
          <w:sz w:val="14"/>
          <w:szCs w:val="14"/>
        </w:rPr>
        <w:t>Contouren startbouwimpuls</w:t>
      </w:r>
      <w:r w:rsidRPr="006E6FE6">
        <w:rPr>
          <w:sz w:val="14"/>
          <w:szCs w:val="14"/>
        </w:rPr>
        <w:fldChar w:fldCharType="end"/>
      </w:r>
      <w:r w:rsidRPr="006E6FE6">
        <w:rPr>
          <w:sz w:val="14"/>
          <w:szCs w:val="14"/>
        </w:rPr>
        <w:t xml:space="preserve"> en aanbieding handreiking regionale versnellingstafels, </w:t>
      </w:r>
      <w:r w:rsidRPr="006E6FE6">
        <w:rPr>
          <w:sz w:val="14"/>
          <w:szCs w:val="14"/>
        </w:rPr>
        <w:fldChar w:fldCharType="begin"/>
      </w:r>
      <w:r w:rsidRPr="006E6FE6">
        <w:rPr>
          <w:sz w:val="14"/>
          <w:szCs w:val="14"/>
        </w:rPr>
        <w:instrText xml:space="preserve"> DOCPROPERTY  "Kenmerk"  \* MERGEFORMAT </w:instrText>
      </w:r>
      <w:r w:rsidRPr="006E6FE6">
        <w:rPr>
          <w:sz w:val="14"/>
          <w:szCs w:val="14"/>
        </w:rPr>
        <w:fldChar w:fldCharType="separate"/>
      </w:r>
      <w:r w:rsidRPr="006E6FE6">
        <w:rPr>
          <w:sz w:val="14"/>
          <w:szCs w:val="14"/>
        </w:rPr>
        <w:t>2023-0000342830</w:t>
      </w:r>
      <w:r w:rsidRPr="006E6FE6">
        <w:rPr>
          <w:sz w:val="14"/>
          <w:szCs w:val="14"/>
        </w:rPr>
        <w:fldChar w:fldCharType="end"/>
      </w:r>
    </w:p>
  </w:footnote>
  <w:footnote w:id="3">
    <w:p w14:paraId="1D1E14C3" w14:textId="77777777" w:rsidR="00683D95" w:rsidRDefault="00683D95" w:rsidP="00683D95">
      <w:pPr>
        <w:spacing w:line="240" w:lineRule="auto"/>
        <w:rPr>
          <w:sz w:val="20"/>
          <w:szCs w:val="20"/>
        </w:rPr>
      </w:pPr>
      <w:r>
        <w:rPr>
          <w:rStyle w:val="Voetnootmarkering"/>
        </w:rPr>
        <w:footnoteRef/>
      </w:r>
      <w:r>
        <w:t xml:space="preserve"> </w:t>
      </w:r>
      <w:r>
        <w:rPr>
          <w:rFonts w:cs="Times New Roman"/>
          <w:color w:val="auto"/>
          <w:sz w:val="14"/>
          <w:szCs w:val="14"/>
        </w:rPr>
        <w:t>Startbouw = heipaal de grond in. Het opgegeven jaartal is de harde prestatieafspraak voor de SBI-bijdrage. Als een project is ingediend voor start bouw in 2024 (idem voor 2025), moet er uiterlijk in dat jaar worden gestart. Projecten die eerder starten zullen hoger gerankt worden.</w:t>
      </w:r>
    </w:p>
  </w:footnote>
  <w:footnote w:id="4">
    <w:p w14:paraId="260F3603" w14:textId="77777777" w:rsidR="00683D95" w:rsidRPr="00D2608E" w:rsidRDefault="00683D95" w:rsidP="00683D95">
      <w:pPr>
        <w:pStyle w:val="Voetnoottekst"/>
        <w:rPr>
          <w:rFonts w:cs="Times New Roman"/>
          <w:color w:val="auto"/>
          <w:sz w:val="14"/>
          <w:szCs w:val="14"/>
        </w:rPr>
      </w:pPr>
      <w:r>
        <w:rPr>
          <w:rStyle w:val="Voetnootmarkering"/>
        </w:rPr>
        <w:footnoteRef/>
      </w:r>
      <w:r>
        <w:t xml:space="preserve"> </w:t>
      </w:r>
      <w:r>
        <w:rPr>
          <w:rFonts w:cs="Times New Roman"/>
          <w:color w:val="auto"/>
          <w:sz w:val="14"/>
          <w:szCs w:val="14"/>
        </w:rPr>
        <w:t xml:space="preserve">Sociale huurwoningen tot de liberalisatie-/huurtoeslaggrens. Deze grens wordt jaarlijks geïndexeerd. </w:t>
      </w:r>
      <w:proofErr w:type="spellStart"/>
      <w:r>
        <w:rPr>
          <w:rFonts w:cs="Times New Roman"/>
          <w:color w:val="auto"/>
          <w:sz w:val="14"/>
          <w:szCs w:val="14"/>
        </w:rPr>
        <w:t>Middeldure</w:t>
      </w:r>
      <w:proofErr w:type="spellEnd"/>
      <w:r>
        <w:rPr>
          <w:rFonts w:cs="Times New Roman"/>
          <w:color w:val="auto"/>
          <w:sz w:val="14"/>
          <w:szCs w:val="14"/>
        </w:rPr>
        <w:t xml:space="preserve"> huur: Vooralsnog huurwoningen vanaf de sociale huurgrens tot een max huur van €1.023 per maand in 2023, deze grens wordt jaarlijks geïndexeerd o.b.v. de indexatie van de liberalisatie-/huurtoeslaggrens. </w:t>
      </w:r>
      <w:r w:rsidRPr="00D2608E">
        <w:rPr>
          <w:rFonts w:cs="Times New Roman"/>
          <w:color w:val="auto"/>
          <w:sz w:val="14"/>
          <w:szCs w:val="14"/>
        </w:rPr>
        <w:t xml:space="preserve">NB: momenteel wordt bezien of deze definitie moet worden aangepast in lijn met het Wetsvoorstel betaalbare huur. </w:t>
      </w:r>
    </w:p>
    <w:p w14:paraId="3097DB45" w14:textId="77777777" w:rsidR="00683D95" w:rsidRDefault="00683D95" w:rsidP="00683D95">
      <w:pPr>
        <w:pStyle w:val="Voetnoottekst"/>
        <w:rPr>
          <w:rFonts w:cs="Times New Roman"/>
          <w:color w:val="auto"/>
          <w:sz w:val="14"/>
          <w:szCs w:val="14"/>
        </w:rPr>
      </w:pPr>
      <w:r w:rsidRPr="00D2608E">
        <w:rPr>
          <w:rFonts w:cs="Times New Roman"/>
          <w:color w:val="auto"/>
          <w:sz w:val="14"/>
          <w:szCs w:val="14"/>
        </w:rPr>
        <w:t xml:space="preserve">Betaalbare koopwoningen </w:t>
      </w:r>
      <w:proofErr w:type="gramStart"/>
      <w:r w:rsidRPr="00D2608E">
        <w:rPr>
          <w:rFonts w:cs="Times New Roman"/>
          <w:color w:val="auto"/>
          <w:sz w:val="14"/>
          <w:szCs w:val="14"/>
        </w:rPr>
        <w:t>conform</w:t>
      </w:r>
      <w:proofErr w:type="gramEnd"/>
      <w:r>
        <w:rPr>
          <w:rFonts w:cs="Times New Roman"/>
          <w:color w:val="auto"/>
          <w:sz w:val="14"/>
          <w:szCs w:val="14"/>
        </w:rPr>
        <w:t xml:space="preserve"> de definitie van de Woningbouwimpuls (vanaf 5e tranche) en de regeling 'Woningbouw op korte termijn' (de Versnellingsafspraken): koopwoningen tot €355.000, deze grens wordt jaarlijks geïndexeerd o.b.v. de CPI.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9973" w14:textId="77777777" w:rsidR="00FA5C6A" w:rsidRDefault="00FA5C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B315" w14:textId="77777777" w:rsidR="000465D2" w:rsidRDefault="009071D3">
    <w:pPr>
      <w:pStyle w:val="MarginlessContainer"/>
    </w:pPr>
    <w:r>
      <w:rPr>
        <w:noProof/>
      </w:rPr>
      <mc:AlternateContent>
        <mc:Choice Requires="wps">
          <w:drawing>
            <wp:anchor distT="0" distB="0" distL="0" distR="0" simplePos="0" relativeHeight="251651584" behindDoc="0" locked="1" layoutInCell="1" allowOverlap="1" wp14:anchorId="3363780B" wp14:editId="0A011AC3">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40C8AE0B" w14:textId="77777777" w:rsidR="00391850" w:rsidRDefault="00391850"/>
                      </w:txbxContent>
                    </wps:txbx>
                    <wps:bodyPr vert="horz" wrap="square" lIns="0" tIns="0" rIns="0" bIns="0" anchor="t" anchorCtr="0"/>
                  </wps:wsp>
                </a:graphicData>
              </a:graphic>
            </wp:anchor>
          </w:drawing>
        </mc:Choice>
        <mc:Fallback>
          <w:pict>
            <v:shapetype w14:anchorId="3363780B"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40C8AE0B" w14:textId="77777777" w:rsidR="00391850" w:rsidRDefault="00391850"/>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676C595E" wp14:editId="42AD63A2">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6F5178E7" w14:textId="77777777" w:rsidR="000465D2" w:rsidRDefault="009071D3">
                          <w:pPr>
                            <w:pStyle w:val="Referentiegegevens"/>
                          </w:pPr>
                          <w:r>
                            <w:t xml:space="preserve">Pagina </w:t>
                          </w:r>
                          <w:r>
                            <w:fldChar w:fldCharType="begin"/>
                          </w:r>
                          <w:r>
                            <w:instrText>PAGE</w:instrText>
                          </w:r>
                          <w:r>
                            <w:fldChar w:fldCharType="separate"/>
                          </w:r>
                          <w:r w:rsidR="00B57F28">
                            <w:rPr>
                              <w:noProof/>
                            </w:rPr>
                            <w:t>1</w:t>
                          </w:r>
                          <w:r>
                            <w:fldChar w:fldCharType="end"/>
                          </w:r>
                          <w:r>
                            <w:t xml:space="preserve"> van </w:t>
                          </w:r>
                          <w:r>
                            <w:fldChar w:fldCharType="begin"/>
                          </w:r>
                          <w:r>
                            <w:instrText>NUMPAGES</w:instrText>
                          </w:r>
                          <w:r>
                            <w:fldChar w:fldCharType="separate"/>
                          </w:r>
                          <w:r w:rsidR="00B57F28">
                            <w:rPr>
                              <w:noProof/>
                            </w:rPr>
                            <w:t>1</w:t>
                          </w:r>
                          <w:r>
                            <w:fldChar w:fldCharType="end"/>
                          </w:r>
                        </w:p>
                      </w:txbxContent>
                    </wps:txbx>
                    <wps:bodyPr vert="horz" wrap="square" lIns="0" tIns="0" rIns="0" bIns="0" anchor="t" anchorCtr="0"/>
                  </wps:wsp>
                </a:graphicData>
              </a:graphic>
            </wp:anchor>
          </w:drawing>
        </mc:Choice>
        <mc:Fallback>
          <w:pict>
            <v:shape w14:anchorId="676C595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6F5178E7" w14:textId="77777777" w:rsidR="000465D2" w:rsidRDefault="009071D3">
                    <w:pPr>
                      <w:pStyle w:val="Referentiegegevens"/>
                    </w:pPr>
                    <w:r>
                      <w:t xml:space="preserve">Pagina </w:t>
                    </w:r>
                    <w:r>
                      <w:fldChar w:fldCharType="begin"/>
                    </w:r>
                    <w:r>
                      <w:instrText>PAGE</w:instrText>
                    </w:r>
                    <w:r>
                      <w:fldChar w:fldCharType="separate"/>
                    </w:r>
                    <w:r w:rsidR="00B57F28">
                      <w:rPr>
                        <w:noProof/>
                      </w:rPr>
                      <w:t>1</w:t>
                    </w:r>
                    <w:r>
                      <w:fldChar w:fldCharType="end"/>
                    </w:r>
                    <w:r>
                      <w:t xml:space="preserve"> van </w:t>
                    </w:r>
                    <w:r>
                      <w:fldChar w:fldCharType="begin"/>
                    </w:r>
                    <w:r>
                      <w:instrText>NUMPAGES</w:instrText>
                    </w:r>
                    <w:r>
                      <w:fldChar w:fldCharType="separate"/>
                    </w:r>
                    <w:r w:rsidR="00B57F2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0D41AB1" wp14:editId="3410ADCD">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1E19BAC6" w14:textId="77777777" w:rsidR="000465D2" w:rsidRDefault="009071D3">
                          <w:pPr>
                            <w:pStyle w:val="Kopjeafzendgegevens"/>
                          </w:pPr>
                          <w:r>
                            <w:t>Ministerie van Binnenlandse Zaken en Koninkrijksrelaties</w:t>
                          </w:r>
                        </w:p>
                        <w:p w14:paraId="5C1F0602" w14:textId="77777777" w:rsidR="000465D2" w:rsidRDefault="009071D3">
                          <w:pPr>
                            <w:pStyle w:val="Afzendgegevens"/>
                          </w:pPr>
                          <w:r>
                            <w:t>WB, O&amp;R</w:t>
                          </w:r>
                        </w:p>
                        <w:p w14:paraId="2D3670E4" w14:textId="77777777" w:rsidR="000465D2" w:rsidRDefault="000465D2">
                          <w:pPr>
                            <w:pStyle w:val="WitregelW1"/>
                          </w:pPr>
                        </w:p>
                        <w:p w14:paraId="1C959F77" w14:textId="77777777" w:rsidR="000465D2" w:rsidRDefault="000465D2">
                          <w:pPr>
                            <w:pStyle w:val="WitregelW1"/>
                          </w:pPr>
                        </w:p>
                        <w:p w14:paraId="33135A65" w14:textId="77777777" w:rsidR="000465D2" w:rsidRDefault="009071D3">
                          <w:pPr>
                            <w:pStyle w:val="Kopjereferentiegegevens"/>
                          </w:pPr>
                          <w:r>
                            <w:t>Datum</w:t>
                          </w:r>
                        </w:p>
                        <w:p w14:paraId="087F9715" w14:textId="7850A530" w:rsidR="000465D2" w:rsidRDefault="00000000">
                          <w:pPr>
                            <w:pStyle w:val="Referentiegegevens"/>
                          </w:pPr>
                          <w:fldSimple w:instr=" DOCPROPERTY  &quot;Datum&quot;  \* MERGEFORMAT ">
                            <w:r w:rsidR="000422E7">
                              <w:t>29 augustus 2023</w:t>
                            </w:r>
                          </w:fldSimple>
                        </w:p>
                        <w:p w14:paraId="21D3B18F" w14:textId="77777777" w:rsidR="000465D2" w:rsidRDefault="000465D2">
                          <w:pPr>
                            <w:pStyle w:val="WitregelW1"/>
                          </w:pPr>
                        </w:p>
                        <w:p w14:paraId="514F85E0" w14:textId="77777777" w:rsidR="000465D2" w:rsidRDefault="009071D3">
                          <w:pPr>
                            <w:pStyle w:val="Kopjereferentiegegevens"/>
                          </w:pPr>
                          <w:r>
                            <w:t>Kenmerk</w:t>
                          </w:r>
                        </w:p>
                        <w:p w14:paraId="72CFD4CA" w14:textId="0A62BC18" w:rsidR="000465D2" w:rsidRDefault="00000000">
                          <w:pPr>
                            <w:pStyle w:val="Referentiegegevens"/>
                          </w:pPr>
                          <w:fldSimple w:instr=" DOCPROPERTY  &quot;Kenmerk&quot;  \* MERGEFORMAT ">
                            <w:r w:rsidR="000422E7">
                              <w:t>2023-0000529463</w:t>
                            </w:r>
                          </w:fldSimple>
                        </w:p>
                      </w:txbxContent>
                    </wps:txbx>
                    <wps:bodyPr vert="horz" wrap="square" lIns="0" tIns="0" rIns="0" bIns="0" anchor="t" anchorCtr="0"/>
                  </wps:wsp>
                </a:graphicData>
              </a:graphic>
            </wp:anchor>
          </w:drawing>
        </mc:Choice>
        <mc:Fallback>
          <w:pict>
            <v:shape w14:anchorId="10D41AB1"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1E19BAC6" w14:textId="77777777" w:rsidR="000465D2" w:rsidRDefault="009071D3">
                    <w:pPr>
                      <w:pStyle w:val="Kopjeafzendgegevens"/>
                    </w:pPr>
                    <w:r>
                      <w:t>Ministerie van Binnenlandse Zaken en Koninkrijksrelaties</w:t>
                    </w:r>
                  </w:p>
                  <w:p w14:paraId="5C1F0602" w14:textId="77777777" w:rsidR="000465D2" w:rsidRDefault="009071D3">
                    <w:pPr>
                      <w:pStyle w:val="Afzendgegevens"/>
                    </w:pPr>
                    <w:r>
                      <w:t>WB, O&amp;R</w:t>
                    </w:r>
                  </w:p>
                  <w:p w14:paraId="2D3670E4" w14:textId="77777777" w:rsidR="000465D2" w:rsidRDefault="000465D2">
                    <w:pPr>
                      <w:pStyle w:val="WitregelW1"/>
                    </w:pPr>
                  </w:p>
                  <w:p w14:paraId="1C959F77" w14:textId="77777777" w:rsidR="000465D2" w:rsidRDefault="000465D2">
                    <w:pPr>
                      <w:pStyle w:val="WitregelW1"/>
                    </w:pPr>
                  </w:p>
                  <w:p w14:paraId="33135A65" w14:textId="77777777" w:rsidR="000465D2" w:rsidRDefault="009071D3">
                    <w:pPr>
                      <w:pStyle w:val="Kopjereferentiegegevens"/>
                    </w:pPr>
                    <w:r>
                      <w:t>Datum</w:t>
                    </w:r>
                  </w:p>
                  <w:p w14:paraId="087F9715" w14:textId="7850A530" w:rsidR="000465D2" w:rsidRDefault="00000000">
                    <w:pPr>
                      <w:pStyle w:val="Referentiegegevens"/>
                    </w:pPr>
                    <w:fldSimple w:instr=" DOCPROPERTY  &quot;Datum&quot;  \* MERGEFORMAT ">
                      <w:r w:rsidR="000422E7">
                        <w:t>29 augustus 2023</w:t>
                      </w:r>
                    </w:fldSimple>
                  </w:p>
                  <w:p w14:paraId="21D3B18F" w14:textId="77777777" w:rsidR="000465D2" w:rsidRDefault="000465D2">
                    <w:pPr>
                      <w:pStyle w:val="WitregelW1"/>
                    </w:pPr>
                  </w:p>
                  <w:p w14:paraId="514F85E0" w14:textId="77777777" w:rsidR="000465D2" w:rsidRDefault="009071D3">
                    <w:pPr>
                      <w:pStyle w:val="Kopjereferentiegegevens"/>
                    </w:pPr>
                    <w:r>
                      <w:t>Kenmerk</w:t>
                    </w:r>
                  </w:p>
                  <w:p w14:paraId="72CFD4CA" w14:textId="0A62BC18" w:rsidR="000465D2" w:rsidRDefault="00000000">
                    <w:pPr>
                      <w:pStyle w:val="Referentiegegevens"/>
                    </w:pPr>
                    <w:fldSimple w:instr=" DOCPROPERTY  &quot;Kenmerk&quot;  \* MERGEFORMAT ">
                      <w:r w:rsidR="000422E7">
                        <w:t>2023-0000529463</w:t>
                      </w:r>
                    </w:fldSimple>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EE85F78" wp14:editId="33A3822B">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23249B59" w14:textId="77777777" w:rsidR="00391850" w:rsidRDefault="00391850"/>
                      </w:txbxContent>
                    </wps:txbx>
                    <wps:bodyPr vert="horz" wrap="square" lIns="0" tIns="0" rIns="0" bIns="0" anchor="t" anchorCtr="0"/>
                  </wps:wsp>
                </a:graphicData>
              </a:graphic>
            </wp:anchor>
          </w:drawing>
        </mc:Choice>
        <mc:Fallback>
          <w:pict>
            <v:shape w14:anchorId="7EE85F78"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23249B59" w14:textId="77777777" w:rsidR="00391850" w:rsidRDefault="0039185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1309" w14:textId="77777777" w:rsidR="000465D2" w:rsidRDefault="009071D3">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22C583F7" wp14:editId="0E64542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5A7DD6A" w14:textId="77777777" w:rsidR="00391850" w:rsidRDefault="00391850"/>
                      </w:txbxContent>
                    </wps:txbx>
                    <wps:bodyPr vert="horz" wrap="square" lIns="0" tIns="0" rIns="0" bIns="0" anchor="t" anchorCtr="0"/>
                  </wps:wsp>
                </a:graphicData>
              </a:graphic>
            </wp:anchor>
          </w:drawing>
        </mc:Choice>
        <mc:Fallback>
          <w:pict>
            <v:shapetype w14:anchorId="22C583F7"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15A7DD6A" w14:textId="77777777" w:rsidR="00391850" w:rsidRDefault="00391850"/>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9FC2EB6" wp14:editId="1A98C2DA">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73FB05" w14:textId="77777777" w:rsidR="000465D2" w:rsidRDefault="009071D3">
                          <w:pPr>
                            <w:pStyle w:val="MarginlessContainer"/>
                          </w:pPr>
                          <w:r>
                            <w:rPr>
                              <w:noProof/>
                            </w:rPr>
                            <w:drawing>
                              <wp:inline distT="0" distB="0" distL="0" distR="0" wp14:anchorId="0FF59E88" wp14:editId="5CCF7017">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FC2EB6"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0773FB05" w14:textId="77777777" w:rsidR="000465D2" w:rsidRDefault="009071D3">
                    <w:pPr>
                      <w:pStyle w:val="MarginlessContainer"/>
                    </w:pPr>
                    <w:r>
                      <w:rPr>
                        <w:noProof/>
                      </w:rPr>
                      <w:drawing>
                        <wp:inline distT="0" distB="0" distL="0" distR="0" wp14:anchorId="0FF59E88" wp14:editId="5CCF7017">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177EAA7" wp14:editId="2071F11F">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2ECD7903" w14:textId="77777777" w:rsidR="000465D2" w:rsidRDefault="009071D3">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7177EAA7"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2ECD7903" w14:textId="77777777" w:rsidR="000465D2" w:rsidRDefault="009071D3">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E3BEDD4" wp14:editId="6C1FC75D">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1FAB8802" w14:textId="77777777" w:rsidR="000465D2" w:rsidRDefault="009071D3">
                          <w:pPr>
                            <w:pStyle w:val="WitregelW1bodytekst"/>
                          </w:pPr>
                          <w:r>
                            <w:t xml:space="preserve"> </w:t>
                          </w:r>
                        </w:p>
                        <w:p w14:paraId="128D7551" w14:textId="77777777" w:rsidR="000465D2" w:rsidRDefault="009071D3">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E3BEDD4"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1FAB8802" w14:textId="77777777" w:rsidR="000465D2" w:rsidRDefault="009071D3">
                    <w:pPr>
                      <w:pStyle w:val="WitregelW1bodytekst"/>
                    </w:pPr>
                    <w:r>
                      <w:t xml:space="preserve"> </w:t>
                    </w:r>
                  </w:p>
                  <w:p w14:paraId="128D7551" w14:textId="77777777" w:rsidR="000465D2" w:rsidRDefault="009071D3">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A302376" wp14:editId="43CD3644">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465D2" w14:paraId="332686CD" w14:textId="77777777">
                            <w:trPr>
                              <w:trHeight w:val="200"/>
                            </w:trPr>
                            <w:tc>
                              <w:tcPr>
                                <w:tcW w:w="1140" w:type="dxa"/>
                              </w:tcPr>
                              <w:p w14:paraId="71B82491" w14:textId="77777777" w:rsidR="000465D2" w:rsidRDefault="000465D2"/>
                            </w:tc>
                            <w:tc>
                              <w:tcPr>
                                <w:tcW w:w="5918" w:type="dxa"/>
                              </w:tcPr>
                              <w:p w14:paraId="405FB81A" w14:textId="77777777" w:rsidR="000465D2" w:rsidRDefault="000465D2"/>
                            </w:tc>
                          </w:tr>
                          <w:tr w:rsidR="000465D2" w14:paraId="43B54B6B" w14:textId="77777777">
                            <w:trPr>
                              <w:trHeight w:val="300"/>
                            </w:trPr>
                            <w:tc>
                              <w:tcPr>
                                <w:tcW w:w="1140" w:type="dxa"/>
                              </w:tcPr>
                              <w:p w14:paraId="680E39A4" w14:textId="77777777" w:rsidR="000465D2" w:rsidRDefault="009071D3">
                                <w:r>
                                  <w:t>Datum</w:t>
                                </w:r>
                              </w:p>
                            </w:tc>
                            <w:tc>
                              <w:tcPr>
                                <w:tcW w:w="5918" w:type="dxa"/>
                              </w:tcPr>
                              <w:p w14:paraId="04C63A40" w14:textId="2B462B97" w:rsidR="000465D2" w:rsidRDefault="00000000">
                                <w:pPr>
                                  <w:pStyle w:val="Gegevensdocument"/>
                                </w:pPr>
                                <w:fldSimple w:instr=" DOCPROPERTY  &quot;Datum&quot;  \* MERGEFORMAT ">
                                  <w:r w:rsidR="000422E7">
                                    <w:t>29 augustus 2023</w:t>
                                  </w:r>
                                </w:fldSimple>
                              </w:p>
                            </w:tc>
                          </w:tr>
                          <w:tr w:rsidR="000465D2" w14:paraId="049AFC66" w14:textId="77777777">
                            <w:trPr>
                              <w:trHeight w:val="300"/>
                            </w:trPr>
                            <w:tc>
                              <w:tcPr>
                                <w:tcW w:w="1140" w:type="dxa"/>
                              </w:tcPr>
                              <w:p w14:paraId="1D1B1B1E" w14:textId="77777777" w:rsidR="000465D2" w:rsidRDefault="009071D3">
                                <w:r>
                                  <w:t>Betreft</w:t>
                                </w:r>
                              </w:p>
                            </w:tc>
                            <w:tc>
                              <w:tcPr>
                                <w:tcW w:w="5918" w:type="dxa"/>
                              </w:tcPr>
                              <w:p w14:paraId="33EC202C" w14:textId="12D62EB3" w:rsidR="000465D2" w:rsidRDefault="00000000">
                                <w:fldSimple w:instr=" DOCPROPERTY  &quot;Onderwerp&quot;  \* MERGEFORMAT ">
                                  <w:r w:rsidR="000422E7">
                                    <w:t>Kamerbrief Afwegingskader Startbouwimpuls (SBI)</w:t>
                                  </w:r>
                                </w:fldSimple>
                              </w:p>
                            </w:tc>
                          </w:tr>
                          <w:tr w:rsidR="000465D2" w14:paraId="78C8D2BA" w14:textId="77777777">
                            <w:trPr>
                              <w:trHeight w:val="200"/>
                            </w:trPr>
                            <w:tc>
                              <w:tcPr>
                                <w:tcW w:w="1140" w:type="dxa"/>
                              </w:tcPr>
                              <w:p w14:paraId="48D18250" w14:textId="77777777" w:rsidR="000465D2" w:rsidRDefault="000465D2"/>
                            </w:tc>
                            <w:tc>
                              <w:tcPr>
                                <w:tcW w:w="5918" w:type="dxa"/>
                              </w:tcPr>
                              <w:p w14:paraId="288105D0" w14:textId="77777777" w:rsidR="000465D2" w:rsidRDefault="000465D2"/>
                            </w:tc>
                          </w:tr>
                        </w:tbl>
                        <w:p w14:paraId="4B49256D" w14:textId="77777777" w:rsidR="00391850" w:rsidRDefault="00391850"/>
                      </w:txbxContent>
                    </wps:txbx>
                    <wps:bodyPr vert="horz" wrap="square" lIns="0" tIns="0" rIns="0" bIns="0" anchor="t" anchorCtr="0"/>
                  </wps:wsp>
                </a:graphicData>
              </a:graphic>
            </wp:anchor>
          </w:drawing>
        </mc:Choice>
        <mc:Fallback>
          <w:pict>
            <v:shapetype w14:anchorId="1A302376" id="_x0000_t202" coordsize="21600,21600" o:spt="202" path="m,l,21600r21600,l21600,xe">
              <v:stroke joinstyle="miter"/>
              <v:path gradientshapeok="t" o:connecttype="rect"/>
            </v:shapetype>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0465D2" w14:paraId="332686CD" w14:textId="77777777">
                      <w:trPr>
                        <w:trHeight w:val="200"/>
                      </w:trPr>
                      <w:tc>
                        <w:tcPr>
                          <w:tcW w:w="1140" w:type="dxa"/>
                        </w:tcPr>
                        <w:p w14:paraId="71B82491" w14:textId="77777777" w:rsidR="000465D2" w:rsidRDefault="000465D2"/>
                      </w:tc>
                      <w:tc>
                        <w:tcPr>
                          <w:tcW w:w="5918" w:type="dxa"/>
                        </w:tcPr>
                        <w:p w14:paraId="405FB81A" w14:textId="77777777" w:rsidR="000465D2" w:rsidRDefault="000465D2"/>
                      </w:tc>
                    </w:tr>
                    <w:tr w:rsidR="000465D2" w14:paraId="43B54B6B" w14:textId="77777777">
                      <w:trPr>
                        <w:trHeight w:val="300"/>
                      </w:trPr>
                      <w:tc>
                        <w:tcPr>
                          <w:tcW w:w="1140" w:type="dxa"/>
                        </w:tcPr>
                        <w:p w14:paraId="680E39A4" w14:textId="77777777" w:rsidR="000465D2" w:rsidRDefault="009071D3">
                          <w:r>
                            <w:t>Datum</w:t>
                          </w:r>
                        </w:p>
                      </w:tc>
                      <w:tc>
                        <w:tcPr>
                          <w:tcW w:w="5918" w:type="dxa"/>
                        </w:tcPr>
                        <w:p w14:paraId="04C63A40" w14:textId="2B462B97" w:rsidR="000465D2" w:rsidRDefault="00000000">
                          <w:pPr>
                            <w:pStyle w:val="Gegevensdocument"/>
                          </w:pPr>
                          <w:fldSimple w:instr=" DOCPROPERTY  &quot;Datum&quot;  \* MERGEFORMAT ">
                            <w:r w:rsidR="000422E7">
                              <w:t>29 augustus 2023</w:t>
                            </w:r>
                          </w:fldSimple>
                        </w:p>
                      </w:tc>
                    </w:tr>
                    <w:tr w:rsidR="000465D2" w14:paraId="049AFC66" w14:textId="77777777">
                      <w:trPr>
                        <w:trHeight w:val="300"/>
                      </w:trPr>
                      <w:tc>
                        <w:tcPr>
                          <w:tcW w:w="1140" w:type="dxa"/>
                        </w:tcPr>
                        <w:p w14:paraId="1D1B1B1E" w14:textId="77777777" w:rsidR="000465D2" w:rsidRDefault="009071D3">
                          <w:r>
                            <w:t>Betreft</w:t>
                          </w:r>
                        </w:p>
                      </w:tc>
                      <w:tc>
                        <w:tcPr>
                          <w:tcW w:w="5918" w:type="dxa"/>
                        </w:tcPr>
                        <w:p w14:paraId="33EC202C" w14:textId="12D62EB3" w:rsidR="000465D2" w:rsidRDefault="00000000">
                          <w:fldSimple w:instr=" DOCPROPERTY  &quot;Onderwerp&quot;  \* MERGEFORMAT ">
                            <w:r w:rsidR="000422E7">
                              <w:t>Kamerbrief Afwegingskader Startbouwimpuls (SBI)</w:t>
                            </w:r>
                          </w:fldSimple>
                        </w:p>
                      </w:tc>
                    </w:tr>
                    <w:tr w:rsidR="000465D2" w14:paraId="78C8D2BA" w14:textId="77777777">
                      <w:trPr>
                        <w:trHeight w:val="200"/>
                      </w:trPr>
                      <w:tc>
                        <w:tcPr>
                          <w:tcW w:w="1140" w:type="dxa"/>
                        </w:tcPr>
                        <w:p w14:paraId="48D18250" w14:textId="77777777" w:rsidR="000465D2" w:rsidRDefault="000465D2"/>
                      </w:tc>
                      <w:tc>
                        <w:tcPr>
                          <w:tcW w:w="5918" w:type="dxa"/>
                        </w:tcPr>
                        <w:p w14:paraId="288105D0" w14:textId="77777777" w:rsidR="000465D2" w:rsidRDefault="000465D2"/>
                      </w:tc>
                    </w:tr>
                  </w:tbl>
                  <w:p w14:paraId="4B49256D" w14:textId="77777777" w:rsidR="00391850" w:rsidRDefault="00391850"/>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2A7A4B9" wp14:editId="646714C3">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E6698D" w14:textId="77777777" w:rsidR="000465D2" w:rsidRDefault="009071D3">
                          <w:pPr>
                            <w:pStyle w:val="Kopjeafzendgegevens"/>
                          </w:pPr>
                          <w:r>
                            <w:t>Ministerie van Binnenlandse Zaken en Koninkrijksrelaties</w:t>
                          </w:r>
                        </w:p>
                        <w:p w14:paraId="5C6BFA99" w14:textId="77777777" w:rsidR="000465D2" w:rsidRPr="00B57F28" w:rsidRDefault="009071D3">
                          <w:pPr>
                            <w:pStyle w:val="Afzendgegevens"/>
                            <w:rPr>
                              <w:lang w:val="de-DE"/>
                            </w:rPr>
                          </w:pPr>
                          <w:r w:rsidRPr="00B57F28">
                            <w:rPr>
                              <w:lang w:val="de-DE"/>
                            </w:rPr>
                            <w:t>WB, O&amp;R</w:t>
                          </w:r>
                        </w:p>
                        <w:p w14:paraId="35799827" w14:textId="77777777" w:rsidR="000465D2" w:rsidRPr="00B57F28" w:rsidRDefault="000465D2">
                          <w:pPr>
                            <w:pStyle w:val="WitregelW1"/>
                            <w:rPr>
                              <w:lang w:val="de-DE"/>
                            </w:rPr>
                          </w:pPr>
                        </w:p>
                        <w:p w14:paraId="14CECF1C" w14:textId="77777777" w:rsidR="000465D2" w:rsidRPr="00B57F28" w:rsidRDefault="009071D3">
                          <w:pPr>
                            <w:pStyle w:val="Afzendgegevens"/>
                            <w:rPr>
                              <w:lang w:val="de-DE"/>
                            </w:rPr>
                          </w:pPr>
                          <w:proofErr w:type="spellStart"/>
                          <w:r w:rsidRPr="00B57F28">
                            <w:rPr>
                              <w:lang w:val="de-DE"/>
                            </w:rPr>
                            <w:t>Turfmarkt</w:t>
                          </w:r>
                          <w:proofErr w:type="spellEnd"/>
                          <w:r w:rsidRPr="00B57F28">
                            <w:rPr>
                              <w:lang w:val="de-DE"/>
                            </w:rPr>
                            <w:t xml:space="preserve"> 147</w:t>
                          </w:r>
                        </w:p>
                        <w:p w14:paraId="5CEC2ED3" w14:textId="77777777" w:rsidR="000465D2" w:rsidRPr="00B57F28" w:rsidRDefault="009071D3">
                          <w:pPr>
                            <w:pStyle w:val="Afzendgegevens"/>
                            <w:rPr>
                              <w:lang w:val="de-DE"/>
                            </w:rPr>
                          </w:pPr>
                          <w:r w:rsidRPr="00B57F28">
                            <w:rPr>
                              <w:lang w:val="de-DE"/>
                            </w:rPr>
                            <w:t>Den Haag</w:t>
                          </w:r>
                        </w:p>
                        <w:p w14:paraId="6BCD43B2" w14:textId="77777777" w:rsidR="000465D2" w:rsidRDefault="009071D3">
                          <w:pPr>
                            <w:pStyle w:val="Afzendgegevens"/>
                          </w:pPr>
                          <w:r>
                            <w:t>Postbus 20011</w:t>
                          </w:r>
                        </w:p>
                        <w:p w14:paraId="3CAAE4D9" w14:textId="77777777" w:rsidR="000465D2" w:rsidRDefault="009071D3">
                          <w:pPr>
                            <w:pStyle w:val="Afzendgegevens"/>
                          </w:pPr>
                          <w:r>
                            <w:t>2500 EA  Den Haag</w:t>
                          </w:r>
                        </w:p>
                        <w:p w14:paraId="031A22F1" w14:textId="77777777" w:rsidR="000465D2" w:rsidRDefault="000465D2">
                          <w:pPr>
                            <w:pStyle w:val="WitregelW1"/>
                          </w:pPr>
                        </w:p>
                        <w:p w14:paraId="1CBB1D51" w14:textId="77777777" w:rsidR="000465D2" w:rsidRDefault="000465D2">
                          <w:pPr>
                            <w:pStyle w:val="WitregelW1"/>
                          </w:pPr>
                        </w:p>
                        <w:p w14:paraId="516074E2" w14:textId="77777777" w:rsidR="000465D2" w:rsidRDefault="009071D3">
                          <w:pPr>
                            <w:pStyle w:val="Kopjereferentiegegevens"/>
                          </w:pPr>
                          <w:r>
                            <w:t>Kenmerk</w:t>
                          </w:r>
                        </w:p>
                        <w:p w14:paraId="7C70E561" w14:textId="1431FF03" w:rsidR="000465D2" w:rsidRDefault="00000000">
                          <w:pPr>
                            <w:pStyle w:val="Referentiegegevens"/>
                          </w:pPr>
                          <w:fldSimple w:instr=" DOCPROPERTY  &quot;Kenmerk&quot;  \* MERGEFORMAT ">
                            <w:r w:rsidR="000422E7">
                              <w:t>2023-0000529463</w:t>
                            </w:r>
                          </w:fldSimple>
                        </w:p>
                        <w:p w14:paraId="121CADEE" w14:textId="77777777" w:rsidR="000465D2" w:rsidRDefault="000465D2">
                          <w:pPr>
                            <w:pStyle w:val="WitregelW1"/>
                          </w:pPr>
                        </w:p>
                        <w:p w14:paraId="71494851" w14:textId="77777777" w:rsidR="000465D2" w:rsidRDefault="009071D3">
                          <w:pPr>
                            <w:pStyle w:val="Kopjereferentiegegevens"/>
                          </w:pPr>
                          <w:r>
                            <w:t>Uw kenmerk</w:t>
                          </w:r>
                        </w:p>
                        <w:p w14:paraId="236848DC" w14:textId="66BB80BC" w:rsidR="000465D2" w:rsidRDefault="009071D3">
                          <w:pPr>
                            <w:pStyle w:val="Referentiegegevens"/>
                          </w:pPr>
                          <w:r>
                            <w:fldChar w:fldCharType="begin"/>
                          </w:r>
                          <w:r>
                            <w:instrText xml:space="preserve"> DOCPROPERTY  "UwKenmerk"  \* MERGEFORMAT </w:instrText>
                          </w:r>
                          <w:r>
                            <w:fldChar w:fldCharType="end"/>
                          </w:r>
                        </w:p>
                        <w:p w14:paraId="72BFD618" w14:textId="77777777" w:rsidR="000465D2" w:rsidRDefault="000465D2">
                          <w:pPr>
                            <w:pStyle w:val="WitregelW1"/>
                          </w:pPr>
                        </w:p>
                        <w:p w14:paraId="44853D12" w14:textId="77777777" w:rsidR="000465D2" w:rsidRDefault="009071D3">
                          <w:pPr>
                            <w:pStyle w:val="Kopjereferentiegegevens"/>
                          </w:pPr>
                          <w:r>
                            <w:t>Bijlage(n)</w:t>
                          </w:r>
                        </w:p>
                        <w:p w14:paraId="4684BA2C" w14:textId="77777777" w:rsidR="000465D2" w:rsidRDefault="009071D3">
                          <w:pPr>
                            <w:pStyle w:val="Referentiegegevens"/>
                          </w:pPr>
                          <w:r>
                            <w:t>0</w:t>
                          </w:r>
                        </w:p>
                      </w:txbxContent>
                    </wps:txbx>
                    <wps:bodyPr vert="horz" wrap="square" lIns="0" tIns="0" rIns="0" bIns="0" anchor="t" anchorCtr="0"/>
                  </wps:wsp>
                </a:graphicData>
              </a:graphic>
            </wp:anchor>
          </w:drawing>
        </mc:Choice>
        <mc:Fallback>
          <w:pict>
            <v:shape w14:anchorId="32A7A4B9"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02E6698D" w14:textId="77777777" w:rsidR="000465D2" w:rsidRDefault="009071D3">
                    <w:pPr>
                      <w:pStyle w:val="Kopjeafzendgegevens"/>
                    </w:pPr>
                    <w:r>
                      <w:t>Ministerie van Binnenlandse Zaken en Koninkrijksrelaties</w:t>
                    </w:r>
                  </w:p>
                  <w:p w14:paraId="5C6BFA99" w14:textId="77777777" w:rsidR="000465D2" w:rsidRPr="00B57F28" w:rsidRDefault="009071D3">
                    <w:pPr>
                      <w:pStyle w:val="Afzendgegevens"/>
                      <w:rPr>
                        <w:lang w:val="de-DE"/>
                      </w:rPr>
                    </w:pPr>
                    <w:r w:rsidRPr="00B57F28">
                      <w:rPr>
                        <w:lang w:val="de-DE"/>
                      </w:rPr>
                      <w:t>WB, O&amp;R</w:t>
                    </w:r>
                  </w:p>
                  <w:p w14:paraId="35799827" w14:textId="77777777" w:rsidR="000465D2" w:rsidRPr="00B57F28" w:rsidRDefault="000465D2">
                    <w:pPr>
                      <w:pStyle w:val="WitregelW1"/>
                      <w:rPr>
                        <w:lang w:val="de-DE"/>
                      </w:rPr>
                    </w:pPr>
                  </w:p>
                  <w:p w14:paraId="14CECF1C" w14:textId="77777777" w:rsidR="000465D2" w:rsidRPr="00B57F28" w:rsidRDefault="009071D3">
                    <w:pPr>
                      <w:pStyle w:val="Afzendgegevens"/>
                      <w:rPr>
                        <w:lang w:val="de-DE"/>
                      </w:rPr>
                    </w:pPr>
                    <w:proofErr w:type="spellStart"/>
                    <w:r w:rsidRPr="00B57F28">
                      <w:rPr>
                        <w:lang w:val="de-DE"/>
                      </w:rPr>
                      <w:t>Turfmarkt</w:t>
                    </w:r>
                    <w:proofErr w:type="spellEnd"/>
                    <w:r w:rsidRPr="00B57F28">
                      <w:rPr>
                        <w:lang w:val="de-DE"/>
                      </w:rPr>
                      <w:t xml:space="preserve"> 147</w:t>
                    </w:r>
                  </w:p>
                  <w:p w14:paraId="5CEC2ED3" w14:textId="77777777" w:rsidR="000465D2" w:rsidRPr="00B57F28" w:rsidRDefault="009071D3">
                    <w:pPr>
                      <w:pStyle w:val="Afzendgegevens"/>
                      <w:rPr>
                        <w:lang w:val="de-DE"/>
                      </w:rPr>
                    </w:pPr>
                    <w:r w:rsidRPr="00B57F28">
                      <w:rPr>
                        <w:lang w:val="de-DE"/>
                      </w:rPr>
                      <w:t>Den Haag</w:t>
                    </w:r>
                  </w:p>
                  <w:p w14:paraId="6BCD43B2" w14:textId="77777777" w:rsidR="000465D2" w:rsidRDefault="009071D3">
                    <w:pPr>
                      <w:pStyle w:val="Afzendgegevens"/>
                    </w:pPr>
                    <w:r>
                      <w:t>Postbus 20011</w:t>
                    </w:r>
                  </w:p>
                  <w:p w14:paraId="3CAAE4D9" w14:textId="77777777" w:rsidR="000465D2" w:rsidRDefault="009071D3">
                    <w:pPr>
                      <w:pStyle w:val="Afzendgegevens"/>
                    </w:pPr>
                    <w:r>
                      <w:t>2500 EA  Den Haag</w:t>
                    </w:r>
                  </w:p>
                  <w:p w14:paraId="031A22F1" w14:textId="77777777" w:rsidR="000465D2" w:rsidRDefault="000465D2">
                    <w:pPr>
                      <w:pStyle w:val="WitregelW1"/>
                    </w:pPr>
                  </w:p>
                  <w:p w14:paraId="1CBB1D51" w14:textId="77777777" w:rsidR="000465D2" w:rsidRDefault="000465D2">
                    <w:pPr>
                      <w:pStyle w:val="WitregelW1"/>
                    </w:pPr>
                  </w:p>
                  <w:p w14:paraId="516074E2" w14:textId="77777777" w:rsidR="000465D2" w:rsidRDefault="009071D3">
                    <w:pPr>
                      <w:pStyle w:val="Kopjereferentiegegevens"/>
                    </w:pPr>
                    <w:r>
                      <w:t>Kenmerk</w:t>
                    </w:r>
                  </w:p>
                  <w:p w14:paraId="7C70E561" w14:textId="1431FF03" w:rsidR="000465D2" w:rsidRDefault="00000000">
                    <w:pPr>
                      <w:pStyle w:val="Referentiegegevens"/>
                    </w:pPr>
                    <w:fldSimple w:instr=" DOCPROPERTY  &quot;Kenmerk&quot;  \* MERGEFORMAT ">
                      <w:r w:rsidR="000422E7">
                        <w:t>2023-0000529463</w:t>
                      </w:r>
                    </w:fldSimple>
                  </w:p>
                  <w:p w14:paraId="121CADEE" w14:textId="77777777" w:rsidR="000465D2" w:rsidRDefault="000465D2">
                    <w:pPr>
                      <w:pStyle w:val="WitregelW1"/>
                    </w:pPr>
                  </w:p>
                  <w:p w14:paraId="71494851" w14:textId="77777777" w:rsidR="000465D2" w:rsidRDefault="009071D3">
                    <w:pPr>
                      <w:pStyle w:val="Kopjereferentiegegevens"/>
                    </w:pPr>
                    <w:r>
                      <w:t>Uw kenmerk</w:t>
                    </w:r>
                  </w:p>
                  <w:p w14:paraId="236848DC" w14:textId="66BB80BC" w:rsidR="000465D2" w:rsidRDefault="009071D3">
                    <w:pPr>
                      <w:pStyle w:val="Referentiegegevens"/>
                    </w:pPr>
                    <w:r>
                      <w:fldChar w:fldCharType="begin"/>
                    </w:r>
                    <w:r>
                      <w:instrText xml:space="preserve"> DOCPROPERTY  "UwKenmerk"  \* MERGEFORMAT </w:instrText>
                    </w:r>
                    <w:r>
                      <w:fldChar w:fldCharType="end"/>
                    </w:r>
                  </w:p>
                  <w:p w14:paraId="72BFD618" w14:textId="77777777" w:rsidR="000465D2" w:rsidRDefault="000465D2">
                    <w:pPr>
                      <w:pStyle w:val="WitregelW1"/>
                    </w:pPr>
                  </w:p>
                  <w:p w14:paraId="44853D12" w14:textId="77777777" w:rsidR="000465D2" w:rsidRDefault="009071D3">
                    <w:pPr>
                      <w:pStyle w:val="Kopjereferentiegegevens"/>
                    </w:pPr>
                    <w:r>
                      <w:t>Bijlage(n)</w:t>
                    </w:r>
                  </w:p>
                  <w:p w14:paraId="4684BA2C" w14:textId="77777777" w:rsidR="000465D2" w:rsidRDefault="009071D3">
                    <w:pPr>
                      <w:pStyle w:val="Referentiegegevens"/>
                    </w:pPr>
                    <w:r>
                      <w:t>0</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1946896" wp14:editId="157D23FA">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77E90C09" w14:textId="77777777" w:rsidR="000465D2" w:rsidRDefault="009071D3">
                          <w:pPr>
                            <w:pStyle w:val="Referentiegegevens"/>
                          </w:pPr>
                          <w:r>
                            <w:t xml:space="preserve">Pagina </w:t>
                          </w:r>
                          <w:r>
                            <w:fldChar w:fldCharType="begin"/>
                          </w:r>
                          <w:r>
                            <w:instrText>PAGE</w:instrText>
                          </w:r>
                          <w:r>
                            <w:fldChar w:fldCharType="separate"/>
                          </w:r>
                          <w:r w:rsidR="00B57F28">
                            <w:rPr>
                              <w:noProof/>
                            </w:rPr>
                            <w:t>1</w:t>
                          </w:r>
                          <w:r>
                            <w:fldChar w:fldCharType="end"/>
                          </w:r>
                          <w:r>
                            <w:t xml:space="preserve"> van </w:t>
                          </w:r>
                          <w:r>
                            <w:fldChar w:fldCharType="begin"/>
                          </w:r>
                          <w:r>
                            <w:instrText>NUMPAGES</w:instrText>
                          </w:r>
                          <w:r>
                            <w:fldChar w:fldCharType="separate"/>
                          </w:r>
                          <w:r w:rsidR="00B57F28">
                            <w:rPr>
                              <w:noProof/>
                            </w:rPr>
                            <w:t>1</w:t>
                          </w:r>
                          <w:r>
                            <w:fldChar w:fldCharType="end"/>
                          </w:r>
                        </w:p>
                      </w:txbxContent>
                    </wps:txbx>
                    <wps:bodyPr vert="horz" wrap="square" lIns="0" tIns="0" rIns="0" bIns="0" anchor="t" anchorCtr="0"/>
                  </wps:wsp>
                </a:graphicData>
              </a:graphic>
            </wp:anchor>
          </w:drawing>
        </mc:Choice>
        <mc:Fallback>
          <w:pict>
            <v:shape w14:anchorId="61946896"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77E90C09" w14:textId="77777777" w:rsidR="000465D2" w:rsidRDefault="009071D3">
                    <w:pPr>
                      <w:pStyle w:val="Referentiegegevens"/>
                    </w:pPr>
                    <w:r>
                      <w:t xml:space="preserve">Pagina </w:t>
                    </w:r>
                    <w:r>
                      <w:fldChar w:fldCharType="begin"/>
                    </w:r>
                    <w:r>
                      <w:instrText>PAGE</w:instrText>
                    </w:r>
                    <w:r>
                      <w:fldChar w:fldCharType="separate"/>
                    </w:r>
                    <w:r w:rsidR="00B57F28">
                      <w:rPr>
                        <w:noProof/>
                      </w:rPr>
                      <w:t>1</w:t>
                    </w:r>
                    <w:r>
                      <w:fldChar w:fldCharType="end"/>
                    </w:r>
                    <w:r>
                      <w:t xml:space="preserve"> van </w:t>
                    </w:r>
                    <w:r>
                      <w:fldChar w:fldCharType="begin"/>
                    </w:r>
                    <w:r>
                      <w:instrText>NUMPAGES</w:instrText>
                    </w:r>
                    <w:r>
                      <w:fldChar w:fldCharType="separate"/>
                    </w:r>
                    <w:r w:rsidR="00B57F2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CD9ED5B" wp14:editId="4F73BD76">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347F2174" w14:textId="77777777" w:rsidR="00391850" w:rsidRDefault="00391850"/>
                      </w:txbxContent>
                    </wps:txbx>
                    <wps:bodyPr vert="horz" wrap="square" lIns="0" tIns="0" rIns="0" bIns="0" anchor="t" anchorCtr="0"/>
                  </wps:wsp>
                </a:graphicData>
              </a:graphic>
            </wp:anchor>
          </w:drawing>
        </mc:Choice>
        <mc:Fallback>
          <w:pict>
            <v:shape w14:anchorId="7CD9ED5B"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347F2174" w14:textId="77777777" w:rsidR="00391850" w:rsidRDefault="00391850"/>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26382605" wp14:editId="5317529A">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204F52B3" w14:textId="77777777" w:rsidR="00391850" w:rsidRDefault="00391850"/>
                      </w:txbxContent>
                    </wps:txbx>
                    <wps:bodyPr vert="horz" wrap="square" lIns="0" tIns="0" rIns="0" bIns="0" anchor="t" anchorCtr="0"/>
                  </wps:wsp>
                </a:graphicData>
              </a:graphic>
            </wp:anchor>
          </w:drawing>
        </mc:Choice>
        <mc:Fallback>
          <w:pict>
            <v:shape w14:anchorId="26382605"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204F52B3" w14:textId="77777777" w:rsidR="00391850" w:rsidRDefault="0039185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A41A0"/>
    <w:multiLevelType w:val="multilevel"/>
    <w:tmpl w:val="72560173"/>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309DCD"/>
    <w:multiLevelType w:val="multilevel"/>
    <w:tmpl w:val="68015E0E"/>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AB13D67"/>
    <w:multiLevelType w:val="multilevel"/>
    <w:tmpl w:val="799BF5E2"/>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275ACB8"/>
    <w:multiLevelType w:val="multilevel"/>
    <w:tmpl w:val="4CCC7F4D"/>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5E0E3AE"/>
    <w:multiLevelType w:val="multilevel"/>
    <w:tmpl w:val="15056EBE"/>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711146D"/>
    <w:multiLevelType w:val="multilevel"/>
    <w:tmpl w:val="397871D5"/>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7B4C1BD"/>
    <w:multiLevelType w:val="multilevel"/>
    <w:tmpl w:val="B828CBAC"/>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9325BBF"/>
    <w:multiLevelType w:val="multilevel"/>
    <w:tmpl w:val="59D7BD51"/>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D0A7E4C"/>
    <w:multiLevelType w:val="multilevel"/>
    <w:tmpl w:val="981B964E"/>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4004980"/>
    <w:multiLevelType w:val="multilevel"/>
    <w:tmpl w:val="D43EF144"/>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51CB5EE"/>
    <w:multiLevelType w:val="multilevel"/>
    <w:tmpl w:val="C40DF7A6"/>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83FC493"/>
    <w:multiLevelType w:val="multilevel"/>
    <w:tmpl w:val="DAFF7618"/>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9731B38"/>
    <w:multiLevelType w:val="multilevel"/>
    <w:tmpl w:val="1FC4F426"/>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B71D770"/>
    <w:multiLevelType w:val="multilevel"/>
    <w:tmpl w:val="D874C5B4"/>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46CC6C5"/>
    <w:multiLevelType w:val="multilevel"/>
    <w:tmpl w:val="298B0C79"/>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5C5E57E"/>
    <w:multiLevelType w:val="multilevel"/>
    <w:tmpl w:val="022CA9C0"/>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D4B00DA"/>
    <w:multiLevelType w:val="multilevel"/>
    <w:tmpl w:val="421C8DD1"/>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471D32B"/>
    <w:multiLevelType w:val="multilevel"/>
    <w:tmpl w:val="09F1A5CF"/>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5E90307"/>
    <w:multiLevelType w:val="multilevel"/>
    <w:tmpl w:val="A5639B34"/>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1AF004"/>
    <w:multiLevelType w:val="multilevel"/>
    <w:tmpl w:val="A7FCB439"/>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33C2CF"/>
    <w:multiLevelType w:val="multilevel"/>
    <w:tmpl w:val="BA7A315A"/>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CAED3E"/>
    <w:multiLevelType w:val="multilevel"/>
    <w:tmpl w:val="8E7E8980"/>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3A903E"/>
    <w:multiLevelType w:val="multilevel"/>
    <w:tmpl w:val="A0596209"/>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BE51D3"/>
    <w:multiLevelType w:val="multilevel"/>
    <w:tmpl w:val="C7A854B6"/>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1355D58"/>
    <w:multiLevelType w:val="multilevel"/>
    <w:tmpl w:val="E6D4C2AB"/>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527E90"/>
    <w:multiLevelType w:val="hybridMultilevel"/>
    <w:tmpl w:val="5BD2FCB0"/>
    <w:lvl w:ilvl="0" w:tplc="8640BC22">
      <w:start w:val="1"/>
      <w:numFmt w:val="decimal"/>
      <w:lvlText w:val="%1."/>
      <w:lvlJc w:val="left"/>
      <w:pPr>
        <w:tabs>
          <w:tab w:val="num" w:pos="720"/>
        </w:tabs>
        <w:ind w:left="720" w:hanging="360"/>
      </w:pPr>
    </w:lvl>
    <w:lvl w:ilvl="1" w:tplc="E280CE4C">
      <w:start w:val="1"/>
      <w:numFmt w:val="decimal"/>
      <w:lvlText w:val="%2."/>
      <w:lvlJc w:val="left"/>
      <w:pPr>
        <w:tabs>
          <w:tab w:val="num" w:pos="1440"/>
        </w:tabs>
        <w:ind w:left="1440" w:hanging="360"/>
      </w:pPr>
    </w:lvl>
    <w:lvl w:ilvl="2" w:tplc="D4AEAA68">
      <w:start w:val="1"/>
      <w:numFmt w:val="decimal"/>
      <w:lvlText w:val="%3."/>
      <w:lvlJc w:val="left"/>
      <w:pPr>
        <w:tabs>
          <w:tab w:val="num" w:pos="2160"/>
        </w:tabs>
        <w:ind w:left="2160" w:hanging="360"/>
      </w:pPr>
    </w:lvl>
    <w:lvl w:ilvl="3" w:tplc="DAFCB534">
      <w:start w:val="1"/>
      <w:numFmt w:val="decimal"/>
      <w:lvlText w:val="%4."/>
      <w:lvlJc w:val="left"/>
      <w:pPr>
        <w:tabs>
          <w:tab w:val="num" w:pos="2880"/>
        </w:tabs>
        <w:ind w:left="2880" w:hanging="360"/>
      </w:pPr>
    </w:lvl>
    <w:lvl w:ilvl="4" w:tplc="4228689C">
      <w:start w:val="1"/>
      <w:numFmt w:val="decimal"/>
      <w:lvlText w:val="%5."/>
      <w:lvlJc w:val="left"/>
      <w:pPr>
        <w:tabs>
          <w:tab w:val="num" w:pos="3600"/>
        </w:tabs>
        <w:ind w:left="3600" w:hanging="360"/>
      </w:pPr>
    </w:lvl>
    <w:lvl w:ilvl="5" w:tplc="A066D10A">
      <w:start w:val="1"/>
      <w:numFmt w:val="decimal"/>
      <w:lvlText w:val="%6."/>
      <w:lvlJc w:val="left"/>
      <w:pPr>
        <w:tabs>
          <w:tab w:val="num" w:pos="4320"/>
        </w:tabs>
        <w:ind w:left="4320" w:hanging="360"/>
      </w:pPr>
    </w:lvl>
    <w:lvl w:ilvl="6" w:tplc="0C9AD614">
      <w:start w:val="1"/>
      <w:numFmt w:val="decimal"/>
      <w:lvlText w:val="%7."/>
      <w:lvlJc w:val="left"/>
      <w:pPr>
        <w:tabs>
          <w:tab w:val="num" w:pos="5040"/>
        </w:tabs>
        <w:ind w:left="5040" w:hanging="360"/>
      </w:pPr>
    </w:lvl>
    <w:lvl w:ilvl="7" w:tplc="6BCAAF9C">
      <w:start w:val="1"/>
      <w:numFmt w:val="decimal"/>
      <w:lvlText w:val="%8."/>
      <w:lvlJc w:val="left"/>
      <w:pPr>
        <w:tabs>
          <w:tab w:val="num" w:pos="5760"/>
        </w:tabs>
        <w:ind w:left="5760" w:hanging="360"/>
      </w:pPr>
    </w:lvl>
    <w:lvl w:ilvl="8" w:tplc="73249D0C">
      <w:start w:val="1"/>
      <w:numFmt w:val="decimal"/>
      <w:lvlText w:val="%9."/>
      <w:lvlJc w:val="left"/>
      <w:pPr>
        <w:tabs>
          <w:tab w:val="num" w:pos="6480"/>
        </w:tabs>
        <w:ind w:left="6480" w:hanging="360"/>
      </w:pPr>
    </w:lvl>
  </w:abstractNum>
  <w:abstractNum w:abstractNumId="26" w15:restartNumberingAfterBreak="0">
    <w:nsid w:val="253B8B04"/>
    <w:multiLevelType w:val="multilevel"/>
    <w:tmpl w:val="ECDB7D84"/>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6ECE477"/>
    <w:multiLevelType w:val="multilevel"/>
    <w:tmpl w:val="E9528B26"/>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D107E0E"/>
    <w:multiLevelType w:val="multilevel"/>
    <w:tmpl w:val="2CA6BE16"/>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CA026A6"/>
    <w:multiLevelType w:val="multilevel"/>
    <w:tmpl w:val="670DC867"/>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FEC13F"/>
    <w:multiLevelType w:val="multilevel"/>
    <w:tmpl w:val="8EE2E6C5"/>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B3DCB0"/>
    <w:multiLevelType w:val="multilevel"/>
    <w:tmpl w:val="9A14F89E"/>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532F9B"/>
    <w:multiLevelType w:val="hybridMultilevel"/>
    <w:tmpl w:val="279042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3677F86"/>
    <w:multiLevelType w:val="multilevel"/>
    <w:tmpl w:val="A464D519"/>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006F37"/>
    <w:multiLevelType w:val="hybridMultilevel"/>
    <w:tmpl w:val="5D7850E8"/>
    <w:lvl w:ilvl="0" w:tplc="EDA2E83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71BA511E"/>
    <w:multiLevelType w:val="multilevel"/>
    <w:tmpl w:val="30ECC84C"/>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7C7122"/>
    <w:multiLevelType w:val="multilevel"/>
    <w:tmpl w:val="DE022103"/>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632FB5"/>
    <w:multiLevelType w:val="multilevel"/>
    <w:tmpl w:val="A946DB1E"/>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9728573">
    <w:abstractNumId w:val="31"/>
  </w:num>
  <w:num w:numId="2" w16cid:durableId="1591154227">
    <w:abstractNumId w:val="0"/>
  </w:num>
  <w:num w:numId="3" w16cid:durableId="12000271">
    <w:abstractNumId w:val="37"/>
  </w:num>
  <w:num w:numId="4" w16cid:durableId="42145985">
    <w:abstractNumId w:val="7"/>
  </w:num>
  <w:num w:numId="5" w16cid:durableId="1780024345">
    <w:abstractNumId w:val="19"/>
  </w:num>
  <w:num w:numId="6" w16cid:durableId="957296119">
    <w:abstractNumId w:val="27"/>
  </w:num>
  <w:num w:numId="7" w16cid:durableId="404642329">
    <w:abstractNumId w:val="36"/>
  </w:num>
  <w:num w:numId="8" w16cid:durableId="1835757897">
    <w:abstractNumId w:val="16"/>
  </w:num>
  <w:num w:numId="9" w16cid:durableId="1550611855">
    <w:abstractNumId w:val="33"/>
  </w:num>
  <w:num w:numId="10" w16cid:durableId="2018118908">
    <w:abstractNumId w:val="35"/>
  </w:num>
  <w:num w:numId="11" w16cid:durableId="2078044784">
    <w:abstractNumId w:val="10"/>
  </w:num>
  <w:num w:numId="12" w16cid:durableId="1295477805">
    <w:abstractNumId w:val="17"/>
  </w:num>
  <w:num w:numId="13" w16cid:durableId="555707672">
    <w:abstractNumId w:val="21"/>
  </w:num>
  <w:num w:numId="14" w16cid:durableId="350496596">
    <w:abstractNumId w:val="24"/>
  </w:num>
  <w:num w:numId="15" w16cid:durableId="2018344193">
    <w:abstractNumId w:val="30"/>
  </w:num>
  <w:num w:numId="16" w16cid:durableId="1494300590">
    <w:abstractNumId w:val="5"/>
  </w:num>
  <w:num w:numId="17" w16cid:durableId="1874153953">
    <w:abstractNumId w:val="28"/>
  </w:num>
  <w:num w:numId="18" w16cid:durableId="2036347739">
    <w:abstractNumId w:val="23"/>
  </w:num>
  <w:num w:numId="19" w16cid:durableId="1647203428">
    <w:abstractNumId w:val="22"/>
  </w:num>
  <w:num w:numId="20" w16cid:durableId="1015696658">
    <w:abstractNumId w:val="13"/>
  </w:num>
  <w:num w:numId="21" w16cid:durableId="1781098284">
    <w:abstractNumId w:val="14"/>
  </w:num>
  <w:num w:numId="22" w16cid:durableId="182018601">
    <w:abstractNumId w:val="11"/>
  </w:num>
  <w:num w:numId="23" w16cid:durableId="1493519093">
    <w:abstractNumId w:val="12"/>
  </w:num>
  <w:num w:numId="24" w16cid:durableId="1955281006">
    <w:abstractNumId w:val="9"/>
  </w:num>
  <w:num w:numId="25" w16cid:durableId="1986010264">
    <w:abstractNumId w:val="18"/>
  </w:num>
  <w:num w:numId="26" w16cid:durableId="783117110">
    <w:abstractNumId w:val="20"/>
  </w:num>
  <w:num w:numId="27" w16cid:durableId="8257991">
    <w:abstractNumId w:val="8"/>
  </w:num>
  <w:num w:numId="28" w16cid:durableId="1908687558">
    <w:abstractNumId w:val="1"/>
  </w:num>
  <w:num w:numId="29" w16cid:durableId="773597305">
    <w:abstractNumId w:val="15"/>
  </w:num>
  <w:num w:numId="30" w16cid:durableId="485437678">
    <w:abstractNumId w:val="2"/>
  </w:num>
  <w:num w:numId="31" w16cid:durableId="1442143220">
    <w:abstractNumId w:val="4"/>
  </w:num>
  <w:num w:numId="32" w16cid:durableId="679234464">
    <w:abstractNumId w:val="3"/>
  </w:num>
  <w:num w:numId="33" w16cid:durableId="1972512229">
    <w:abstractNumId w:val="29"/>
  </w:num>
  <w:num w:numId="34" w16cid:durableId="1489907004">
    <w:abstractNumId w:val="26"/>
  </w:num>
  <w:num w:numId="35" w16cid:durableId="14411473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508683">
    <w:abstractNumId w:val="32"/>
  </w:num>
  <w:num w:numId="37" w16cid:durableId="1021317451">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D2"/>
    <w:rsid w:val="00002711"/>
    <w:rsid w:val="00012F8D"/>
    <w:rsid w:val="000422E7"/>
    <w:rsid w:val="000465D2"/>
    <w:rsid w:val="00065199"/>
    <w:rsid w:val="00075276"/>
    <w:rsid w:val="00080402"/>
    <w:rsid w:val="00080FDC"/>
    <w:rsid w:val="000C3943"/>
    <w:rsid w:val="000C4BF9"/>
    <w:rsid w:val="000D710A"/>
    <w:rsid w:val="0011476C"/>
    <w:rsid w:val="00117861"/>
    <w:rsid w:val="0013623B"/>
    <w:rsid w:val="0016023F"/>
    <w:rsid w:val="001861CF"/>
    <w:rsid w:val="001874F3"/>
    <w:rsid w:val="001D4E08"/>
    <w:rsid w:val="001F30B9"/>
    <w:rsid w:val="00221EE6"/>
    <w:rsid w:val="002313E7"/>
    <w:rsid w:val="002419F2"/>
    <w:rsid w:val="00265FC1"/>
    <w:rsid w:val="00266EEA"/>
    <w:rsid w:val="0027407F"/>
    <w:rsid w:val="00293B1B"/>
    <w:rsid w:val="002A41CB"/>
    <w:rsid w:val="002B146B"/>
    <w:rsid w:val="002D01A9"/>
    <w:rsid w:val="002F7C67"/>
    <w:rsid w:val="00304499"/>
    <w:rsid w:val="003623D5"/>
    <w:rsid w:val="00362A72"/>
    <w:rsid w:val="00391850"/>
    <w:rsid w:val="003A5990"/>
    <w:rsid w:val="003B3B4D"/>
    <w:rsid w:val="003C56A1"/>
    <w:rsid w:val="003E0723"/>
    <w:rsid w:val="00403196"/>
    <w:rsid w:val="0040503E"/>
    <w:rsid w:val="00407936"/>
    <w:rsid w:val="00443546"/>
    <w:rsid w:val="00455FFA"/>
    <w:rsid w:val="00461284"/>
    <w:rsid w:val="00473FAE"/>
    <w:rsid w:val="00480C21"/>
    <w:rsid w:val="004B4611"/>
    <w:rsid w:val="004D16E0"/>
    <w:rsid w:val="004D2826"/>
    <w:rsid w:val="00521CB1"/>
    <w:rsid w:val="00523A17"/>
    <w:rsid w:val="005612E9"/>
    <w:rsid w:val="0056774B"/>
    <w:rsid w:val="005835B7"/>
    <w:rsid w:val="00586D21"/>
    <w:rsid w:val="005C35E1"/>
    <w:rsid w:val="006101CA"/>
    <w:rsid w:val="00614A16"/>
    <w:rsid w:val="00632276"/>
    <w:rsid w:val="00637267"/>
    <w:rsid w:val="0064400C"/>
    <w:rsid w:val="0065299F"/>
    <w:rsid w:val="00652A02"/>
    <w:rsid w:val="00683D95"/>
    <w:rsid w:val="00686615"/>
    <w:rsid w:val="006A7ED3"/>
    <w:rsid w:val="006C63ED"/>
    <w:rsid w:val="006D3002"/>
    <w:rsid w:val="006E6FE6"/>
    <w:rsid w:val="007175AD"/>
    <w:rsid w:val="00724035"/>
    <w:rsid w:val="00724FE0"/>
    <w:rsid w:val="00756F91"/>
    <w:rsid w:val="00773884"/>
    <w:rsid w:val="00792689"/>
    <w:rsid w:val="0079422E"/>
    <w:rsid w:val="007A1B87"/>
    <w:rsid w:val="007B7D59"/>
    <w:rsid w:val="007D38E3"/>
    <w:rsid w:val="0081775C"/>
    <w:rsid w:val="0082666A"/>
    <w:rsid w:val="0086378F"/>
    <w:rsid w:val="00894A0D"/>
    <w:rsid w:val="008C0240"/>
    <w:rsid w:val="008C4F34"/>
    <w:rsid w:val="00905425"/>
    <w:rsid w:val="009071D3"/>
    <w:rsid w:val="00926D83"/>
    <w:rsid w:val="009332CC"/>
    <w:rsid w:val="00951F7F"/>
    <w:rsid w:val="00964A62"/>
    <w:rsid w:val="00965770"/>
    <w:rsid w:val="00995006"/>
    <w:rsid w:val="009A6017"/>
    <w:rsid w:val="009A7716"/>
    <w:rsid w:val="009B7354"/>
    <w:rsid w:val="009D2124"/>
    <w:rsid w:val="009E3C89"/>
    <w:rsid w:val="00A13FB4"/>
    <w:rsid w:val="00A21789"/>
    <w:rsid w:val="00A23B2E"/>
    <w:rsid w:val="00A401AC"/>
    <w:rsid w:val="00A60D41"/>
    <w:rsid w:val="00A62248"/>
    <w:rsid w:val="00A63841"/>
    <w:rsid w:val="00A803F4"/>
    <w:rsid w:val="00AA5F2D"/>
    <w:rsid w:val="00AB4376"/>
    <w:rsid w:val="00AC0A3C"/>
    <w:rsid w:val="00AC421C"/>
    <w:rsid w:val="00AC4EF5"/>
    <w:rsid w:val="00AF1D12"/>
    <w:rsid w:val="00B00A24"/>
    <w:rsid w:val="00B04059"/>
    <w:rsid w:val="00B17A59"/>
    <w:rsid w:val="00B25EF0"/>
    <w:rsid w:val="00B339A2"/>
    <w:rsid w:val="00B351C3"/>
    <w:rsid w:val="00B35DCA"/>
    <w:rsid w:val="00B3641A"/>
    <w:rsid w:val="00B4584A"/>
    <w:rsid w:val="00B554DD"/>
    <w:rsid w:val="00B57F28"/>
    <w:rsid w:val="00B66B98"/>
    <w:rsid w:val="00BA3916"/>
    <w:rsid w:val="00BB3811"/>
    <w:rsid w:val="00BB6A31"/>
    <w:rsid w:val="00BE28A2"/>
    <w:rsid w:val="00BF6419"/>
    <w:rsid w:val="00C175FF"/>
    <w:rsid w:val="00C20CBB"/>
    <w:rsid w:val="00C21B23"/>
    <w:rsid w:val="00C3105F"/>
    <w:rsid w:val="00C43F6F"/>
    <w:rsid w:val="00C53269"/>
    <w:rsid w:val="00C71139"/>
    <w:rsid w:val="00C76223"/>
    <w:rsid w:val="00C857B5"/>
    <w:rsid w:val="00CF7E0C"/>
    <w:rsid w:val="00D03967"/>
    <w:rsid w:val="00D20C97"/>
    <w:rsid w:val="00D232DA"/>
    <w:rsid w:val="00D2608E"/>
    <w:rsid w:val="00D31DB6"/>
    <w:rsid w:val="00D42122"/>
    <w:rsid w:val="00D534E8"/>
    <w:rsid w:val="00D54AC1"/>
    <w:rsid w:val="00D634E0"/>
    <w:rsid w:val="00D65536"/>
    <w:rsid w:val="00D92C84"/>
    <w:rsid w:val="00DC7B13"/>
    <w:rsid w:val="00DE6616"/>
    <w:rsid w:val="00DE6C05"/>
    <w:rsid w:val="00DF5D28"/>
    <w:rsid w:val="00DF72F9"/>
    <w:rsid w:val="00E22FC4"/>
    <w:rsid w:val="00E5275B"/>
    <w:rsid w:val="00E714B6"/>
    <w:rsid w:val="00E976C2"/>
    <w:rsid w:val="00EA2B08"/>
    <w:rsid w:val="00ED2FCC"/>
    <w:rsid w:val="00EE183A"/>
    <w:rsid w:val="00EE2394"/>
    <w:rsid w:val="00F31414"/>
    <w:rsid w:val="00F57D00"/>
    <w:rsid w:val="00F71471"/>
    <w:rsid w:val="00F92E24"/>
    <w:rsid w:val="00F93A05"/>
    <w:rsid w:val="00FA5C6A"/>
    <w:rsid w:val="00FB15A6"/>
    <w:rsid w:val="00FB24DF"/>
    <w:rsid w:val="00FB6560"/>
    <w:rsid w:val="00FC34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75210"/>
  <w15:docId w15:val="{5F530AAF-E1CB-4F6D-A64B-7D0B5AC0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3"/>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7"/>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0"/>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0"/>
      </w:numPr>
      <w:spacing w:line="240" w:lineRule="exact"/>
    </w:pPr>
    <w:rPr>
      <w:sz w:val="20"/>
      <w:szCs w:val="20"/>
    </w:rPr>
  </w:style>
  <w:style w:type="paragraph" w:customStyle="1" w:styleId="Convenantlidletterstijlinspring">
    <w:name w:val="Convenant lid (letterstijl inspring)"/>
    <w:basedOn w:val="Standaard"/>
    <w:next w:val="Standaard"/>
    <w:pPr>
      <w:numPr>
        <w:numId w:val="9"/>
      </w:numPr>
      <w:spacing w:line="240" w:lineRule="exact"/>
    </w:pPr>
    <w:rPr>
      <w:sz w:val="20"/>
      <w:szCs w:val="20"/>
    </w:rPr>
  </w:style>
  <w:style w:type="paragraph" w:customStyle="1" w:styleId="ConvenantLidletterstijl">
    <w:name w:val="Convenant Lid (letterstijl)"/>
    <w:basedOn w:val="Standaard"/>
    <w:next w:val="Standaard"/>
    <w:pPr>
      <w:numPr>
        <w:numId w:val="8"/>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7"/>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9"/>
      </w:numPr>
      <w:spacing w:line="240" w:lineRule="exact"/>
    </w:pPr>
  </w:style>
  <w:style w:type="paragraph" w:customStyle="1" w:styleId="LedenArt1niv2">
    <w:name w:val="Leden_Art_1_niv2"/>
    <w:basedOn w:val="Standaard"/>
    <w:next w:val="Standaard"/>
    <w:pPr>
      <w:numPr>
        <w:ilvl w:val="1"/>
        <w:numId w:val="29"/>
      </w:numPr>
      <w:spacing w:line="240" w:lineRule="exact"/>
    </w:pPr>
  </w:style>
  <w:style w:type="paragraph" w:customStyle="1" w:styleId="LedenArt10">
    <w:name w:val="Leden_Art_10"/>
    <w:basedOn w:val="Standaard"/>
    <w:next w:val="Standaard"/>
    <w:pPr>
      <w:numPr>
        <w:numId w:val="30"/>
      </w:numPr>
      <w:spacing w:line="240" w:lineRule="exact"/>
    </w:pPr>
  </w:style>
  <w:style w:type="paragraph" w:customStyle="1" w:styleId="LedenArt10niv2">
    <w:name w:val="Leden_Art_10_niv2"/>
    <w:basedOn w:val="Standaard"/>
    <w:next w:val="Standaard"/>
    <w:pPr>
      <w:numPr>
        <w:ilvl w:val="1"/>
        <w:numId w:val="30"/>
      </w:numPr>
      <w:spacing w:line="240" w:lineRule="exact"/>
    </w:pPr>
  </w:style>
  <w:style w:type="paragraph" w:customStyle="1" w:styleId="LedenArt11">
    <w:name w:val="Leden_Art_11"/>
    <w:basedOn w:val="Standaard"/>
    <w:next w:val="Standaard"/>
    <w:pPr>
      <w:numPr>
        <w:numId w:val="31"/>
      </w:numPr>
      <w:spacing w:line="240" w:lineRule="exact"/>
    </w:pPr>
  </w:style>
  <w:style w:type="paragraph" w:customStyle="1" w:styleId="LedenArt3">
    <w:name w:val="Leden_Art_3"/>
    <w:basedOn w:val="Standaard"/>
    <w:next w:val="Standaard"/>
    <w:pPr>
      <w:numPr>
        <w:numId w:val="32"/>
      </w:numPr>
      <w:spacing w:line="240" w:lineRule="exact"/>
    </w:pPr>
  </w:style>
  <w:style w:type="paragraph" w:customStyle="1" w:styleId="LedenArt6">
    <w:name w:val="Leden_Art_6"/>
    <w:basedOn w:val="Standaard"/>
    <w:next w:val="Standaard"/>
    <w:pPr>
      <w:numPr>
        <w:numId w:val="33"/>
      </w:numPr>
      <w:spacing w:line="240" w:lineRule="exact"/>
    </w:pPr>
  </w:style>
  <w:style w:type="paragraph" w:customStyle="1" w:styleId="LedenArt6niv2">
    <w:name w:val="Leden_Art_6_niv2"/>
    <w:basedOn w:val="Standaard"/>
    <w:next w:val="Standaard"/>
    <w:pPr>
      <w:numPr>
        <w:ilvl w:val="1"/>
        <w:numId w:val="33"/>
      </w:numPr>
      <w:spacing w:line="240" w:lineRule="exact"/>
    </w:pPr>
  </w:style>
  <w:style w:type="paragraph" w:customStyle="1" w:styleId="LedenArt7">
    <w:name w:val="Leden_Art_7"/>
    <w:basedOn w:val="Standaard"/>
    <w:next w:val="Standaard"/>
    <w:pPr>
      <w:numPr>
        <w:numId w:val="34"/>
      </w:numPr>
      <w:spacing w:line="240" w:lineRule="exact"/>
    </w:pPr>
  </w:style>
  <w:style w:type="paragraph" w:customStyle="1" w:styleId="LedenArt7niv2">
    <w:name w:val="Leden_Art_7_niv2"/>
    <w:basedOn w:val="Standaard"/>
    <w:next w:val="Standaard"/>
    <w:pPr>
      <w:numPr>
        <w:ilvl w:val="1"/>
        <w:numId w:val="34"/>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2"/>
      </w:numPr>
      <w:spacing w:line="240" w:lineRule="exact"/>
    </w:pPr>
  </w:style>
  <w:style w:type="paragraph" w:customStyle="1" w:styleId="LogiusMTNotitiebullet">
    <w:name w:val="Logius MT Notitie bullet"/>
    <w:basedOn w:val="Standaard"/>
    <w:next w:val="Standaard"/>
    <w:pPr>
      <w:numPr>
        <w:numId w:val="13"/>
      </w:numPr>
      <w:spacing w:line="240" w:lineRule="exact"/>
    </w:pPr>
  </w:style>
  <w:style w:type="paragraph" w:customStyle="1" w:styleId="LogiusMTNotitieopsomming">
    <w:name w:val="Logius MT Notitie opsomming"/>
    <w:basedOn w:val="Standaard"/>
    <w:next w:val="Standaard"/>
    <w:pPr>
      <w:numPr>
        <w:numId w:val="14"/>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3"/>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5"/>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6"/>
      </w:numPr>
      <w:spacing w:line="240" w:lineRule="exact"/>
    </w:pPr>
  </w:style>
  <w:style w:type="paragraph" w:customStyle="1" w:styleId="LogiusOpsomming1aniv2">
    <w:name w:val="Logius Opsomming 1a niv2"/>
    <w:basedOn w:val="Standaard"/>
    <w:next w:val="Standaard"/>
    <w:pPr>
      <w:numPr>
        <w:ilvl w:val="1"/>
        <w:numId w:val="16"/>
      </w:numPr>
      <w:spacing w:line="240" w:lineRule="exact"/>
    </w:pPr>
  </w:style>
  <w:style w:type="paragraph" w:customStyle="1" w:styleId="LogiusOpsommingHoofdletters">
    <w:name w:val="Logius Opsomming Hoofdletters"/>
    <w:basedOn w:val="Standaard"/>
    <w:next w:val="Standaard"/>
    <w:pPr>
      <w:numPr>
        <w:numId w:val="19"/>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1"/>
      </w:numPr>
      <w:spacing w:line="240" w:lineRule="exact"/>
    </w:pPr>
  </w:style>
  <w:style w:type="paragraph" w:customStyle="1" w:styleId="Logiustekstmetopsommingniveau2">
    <w:name w:val="Logius tekst met opsomming niveau 2"/>
    <w:basedOn w:val="Standaard"/>
    <w:next w:val="Standaard"/>
    <w:pPr>
      <w:numPr>
        <w:ilvl w:val="1"/>
        <w:numId w:val="11"/>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8"/>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7"/>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0"/>
      </w:numPr>
      <w:spacing w:after="700" w:line="300" w:lineRule="exact"/>
    </w:pPr>
    <w:rPr>
      <w:sz w:val="24"/>
      <w:szCs w:val="24"/>
    </w:rPr>
  </w:style>
  <w:style w:type="paragraph" w:customStyle="1" w:styleId="RapportNiveau2">
    <w:name w:val="Rapport_Niveau_2"/>
    <w:basedOn w:val="Standaard"/>
    <w:next w:val="Standaard"/>
    <w:pPr>
      <w:numPr>
        <w:ilvl w:val="1"/>
        <w:numId w:val="20"/>
      </w:numPr>
      <w:spacing w:line="240" w:lineRule="exact"/>
    </w:pPr>
    <w:rPr>
      <w:b/>
    </w:rPr>
  </w:style>
  <w:style w:type="paragraph" w:customStyle="1" w:styleId="RapportNiveau3">
    <w:name w:val="Rapport_Niveau_3"/>
    <w:basedOn w:val="Standaard"/>
    <w:next w:val="Standaard"/>
    <w:pPr>
      <w:numPr>
        <w:ilvl w:val="2"/>
        <w:numId w:val="20"/>
      </w:numPr>
      <w:spacing w:line="240" w:lineRule="exact"/>
    </w:pPr>
    <w:rPr>
      <w:i/>
    </w:rPr>
  </w:style>
  <w:style w:type="paragraph" w:customStyle="1" w:styleId="RapportNiveau4">
    <w:name w:val="Rapport_Niveau_4"/>
    <w:basedOn w:val="Standaard"/>
    <w:next w:val="Standaard"/>
    <w:pPr>
      <w:numPr>
        <w:ilvl w:val="3"/>
        <w:numId w:val="20"/>
      </w:numPr>
      <w:spacing w:line="240" w:lineRule="exact"/>
    </w:pPr>
  </w:style>
  <w:style w:type="paragraph" w:customStyle="1" w:styleId="RapportNiveau5">
    <w:name w:val="Rapport_Niveau_5"/>
    <w:basedOn w:val="Standaard"/>
    <w:next w:val="Standaard"/>
    <w:pPr>
      <w:numPr>
        <w:ilvl w:val="4"/>
        <w:numId w:val="20"/>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1"/>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1"/>
      </w:numPr>
      <w:spacing w:before="200" w:line="300" w:lineRule="exact"/>
    </w:pPr>
    <w:rPr>
      <w:b/>
    </w:rPr>
  </w:style>
  <w:style w:type="paragraph" w:customStyle="1" w:styleId="RapportRijksHuisstijl3">
    <w:name w:val="Rapport_RijksHuisstijl_3"/>
    <w:basedOn w:val="Standaard"/>
    <w:next w:val="Standaard"/>
    <w:qFormat/>
    <w:pPr>
      <w:numPr>
        <w:ilvl w:val="2"/>
        <w:numId w:val="21"/>
      </w:numPr>
      <w:spacing w:before="240" w:line="240" w:lineRule="exact"/>
    </w:pPr>
    <w:rPr>
      <w:i/>
    </w:rPr>
  </w:style>
  <w:style w:type="paragraph" w:customStyle="1" w:styleId="RapportRijksHuisstijl4">
    <w:name w:val="Rapport_RijksHuisstijl_4"/>
    <w:basedOn w:val="Standaard"/>
    <w:next w:val="Standaard"/>
    <w:pPr>
      <w:numPr>
        <w:ilvl w:val="3"/>
        <w:numId w:val="21"/>
      </w:numPr>
      <w:spacing w:line="240" w:lineRule="exact"/>
    </w:pPr>
  </w:style>
  <w:style w:type="paragraph" w:customStyle="1" w:styleId="RapportRijksHuisstijl5">
    <w:name w:val="Rapport_RijksHuisstijl_5"/>
    <w:basedOn w:val="Standaard"/>
    <w:next w:val="Standaard"/>
    <w:pPr>
      <w:numPr>
        <w:ilvl w:val="4"/>
        <w:numId w:val="21"/>
      </w:numPr>
      <w:spacing w:line="240" w:lineRule="exact"/>
    </w:pPr>
  </w:style>
  <w:style w:type="paragraph" w:customStyle="1" w:styleId="RapportRijksHuisstijl6">
    <w:name w:val="Rapport_RijksHuisstijl_6"/>
    <w:basedOn w:val="Standaard"/>
    <w:next w:val="Standaard"/>
    <w:pPr>
      <w:pageBreakBefore/>
      <w:numPr>
        <w:numId w:val="22"/>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3"/>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4"/>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5"/>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6"/>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6"/>
      </w:numPr>
      <w:spacing w:before="180" w:line="300" w:lineRule="exact"/>
    </w:pPr>
  </w:style>
  <w:style w:type="paragraph" w:customStyle="1" w:styleId="Robrfvniv1b11">
    <w:name w:val="Robrfvniv1_b11"/>
    <w:basedOn w:val="Standaard"/>
    <w:next w:val="Standaard"/>
    <w:pPr>
      <w:numPr>
        <w:numId w:val="26"/>
      </w:numPr>
      <w:spacing w:before="360" w:line="300" w:lineRule="exact"/>
    </w:pPr>
    <w:rPr>
      <w:b/>
      <w:sz w:val="22"/>
      <w:szCs w:val="22"/>
    </w:rPr>
  </w:style>
  <w:style w:type="paragraph" w:customStyle="1" w:styleId="Robrfvniv2">
    <w:name w:val="Robrfvniv2"/>
    <w:basedOn w:val="Standaard"/>
    <w:next w:val="Standaard"/>
    <w:pPr>
      <w:numPr>
        <w:ilvl w:val="1"/>
        <w:numId w:val="26"/>
      </w:numPr>
      <w:spacing w:before="180" w:line="300" w:lineRule="exact"/>
    </w:pPr>
    <w:rPr>
      <w:b/>
    </w:rPr>
  </w:style>
  <w:style w:type="paragraph" w:customStyle="1" w:styleId="Robrfvniv3standaard">
    <w:name w:val="Robrfvniv3_standaard"/>
    <w:basedOn w:val="Standaard"/>
    <w:next w:val="Standaard"/>
    <w:pPr>
      <w:numPr>
        <w:ilvl w:val="3"/>
        <w:numId w:val="26"/>
      </w:numPr>
      <w:spacing w:line="240" w:lineRule="exact"/>
    </w:pPr>
  </w:style>
  <w:style w:type="paragraph" w:customStyle="1" w:styleId="Robrfvniv5">
    <w:name w:val="Robrfvniv5"/>
    <w:basedOn w:val="Standaard"/>
    <w:next w:val="Standaard"/>
    <w:pPr>
      <w:numPr>
        <w:ilvl w:val="4"/>
        <w:numId w:val="26"/>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7"/>
      </w:numPr>
      <w:spacing w:after="240" w:line="240" w:lineRule="exact"/>
    </w:pPr>
  </w:style>
  <w:style w:type="paragraph" w:customStyle="1" w:styleId="RVIGTekstbesluitmetletters">
    <w:name w:val="RVIG Tekst besluit met letters"/>
    <w:basedOn w:val="Standaard"/>
    <w:next w:val="Standaard"/>
    <w:pPr>
      <w:numPr>
        <w:numId w:val="28"/>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7"/>
      </w:numPr>
      <w:spacing w:line="240" w:lineRule="exact"/>
    </w:pPr>
    <w:rPr>
      <w:i/>
    </w:rPr>
  </w:style>
  <w:style w:type="paragraph" w:customStyle="1" w:styleId="Subparagraaf2">
    <w:name w:val="Subparagraaf 2"/>
    <w:basedOn w:val="Standaard"/>
    <w:next w:val="Standaard"/>
    <w:pPr>
      <w:numPr>
        <w:ilvl w:val="3"/>
        <w:numId w:val="17"/>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4"/>
      </w:numPr>
      <w:spacing w:before="180" w:line="240" w:lineRule="exact"/>
    </w:pPr>
    <w:rPr>
      <w:b/>
    </w:rPr>
  </w:style>
  <w:style w:type="paragraph" w:customStyle="1" w:styleId="WOBBesluitBijlageLidArtikel">
    <w:name w:val="WOB Besluit Bijlage Lid Artikel"/>
    <w:basedOn w:val="Standaard"/>
    <w:next w:val="Standaard"/>
    <w:pPr>
      <w:numPr>
        <w:numId w:val="5"/>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6"/>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B57F2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57F28"/>
    <w:rPr>
      <w:rFonts w:ascii="Verdana" w:hAnsi="Verdana"/>
      <w:color w:val="000000"/>
      <w:sz w:val="18"/>
      <w:szCs w:val="18"/>
    </w:rPr>
  </w:style>
  <w:style w:type="paragraph" w:styleId="Voettekst">
    <w:name w:val="footer"/>
    <w:basedOn w:val="Standaard"/>
    <w:link w:val="VoettekstChar"/>
    <w:uiPriority w:val="99"/>
    <w:unhideWhenUsed/>
    <w:rsid w:val="00B57F2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57F28"/>
    <w:rPr>
      <w:rFonts w:ascii="Verdana" w:hAnsi="Verdana"/>
      <w:color w:val="000000"/>
      <w:sz w:val="18"/>
      <w:szCs w:val="18"/>
    </w:rPr>
  </w:style>
  <w:style w:type="paragraph" w:styleId="Voetnoottekst">
    <w:name w:val="footnote text"/>
    <w:basedOn w:val="Standaard"/>
    <w:link w:val="VoetnoottekstChar"/>
    <w:uiPriority w:val="99"/>
    <w:semiHidden/>
    <w:unhideWhenUsed/>
    <w:rsid w:val="00B57F28"/>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B57F28"/>
    <w:rPr>
      <w:rFonts w:ascii="Verdana" w:hAnsi="Verdana"/>
      <w:color w:val="000000"/>
    </w:rPr>
  </w:style>
  <w:style w:type="character" w:styleId="Voetnootmarkering">
    <w:name w:val="footnote reference"/>
    <w:basedOn w:val="Standaardalinea-lettertype"/>
    <w:uiPriority w:val="99"/>
    <w:semiHidden/>
    <w:unhideWhenUsed/>
    <w:rsid w:val="00B57F28"/>
    <w:rPr>
      <w:vertAlign w:val="superscript"/>
    </w:rPr>
  </w:style>
  <w:style w:type="paragraph" w:styleId="Lijstalinea">
    <w:name w:val="List Paragraph"/>
    <w:basedOn w:val="Standaard"/>
    <w:uiPriority w:val="34"/>
    <w:qFormat/>
    <w:rsid w:val="00586D21"/>
    <w:pPr>
      <w:spacing w:line="240" w:lineRule="exact"/>
      <w:ind w:left="720"/>
      <w:contextualSpacing/>
      <w:textAlignment w:val="auto"/>
    </w:pPr>
  </w:style>
  <w:style w:type="table" w:styleId="Tabelraster">
    <w:name w:val="Table Grid"/>
    <w:rsid w:val="00586D21"/>
    <w:pPr>
      <w:textAlignment w:val="auto"/>
    </w:pP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character" w:styleId="Verwijzingopmerking">
    <w:name w:val="annotation reference"/>
    <w:basedOn w:val="Standaardalinea-lettertype"/>
    <w:uiPriority w:val="99"/>
    <w:semiHidden/>
    <w:unhideWhenUsed/>
    <w:rsid w:val="000C3943"/>
    <w:rPr>
      <w:sz w:val="16"/>
      <w:szCs w:val="16"/>
    </w:rPr>
  </w:style>
  <w:style w:type="paragraph" w:styleId="Tekstopmerking">
    <w:name w:val="annotation text"/>
    <w:basedOn w:val="Standaard"/>
    <w:link w:val="TekstopmerkingChar"/>
    <w:uiPriority w:val="99"/>
    <w:unhideWhenUsed/>
    <w:rsid w:val="000C3943"/>
    <w:pPr>
      <w:spacing w:line="240" w:lineRule="auto"/>
    </w:pPr>
    <w:rPr>
      <w:sz w:val="20"/>
      <w:szCs w:val="20"/>
    </w:rPr>
  </w:style>
  <w:style w:type="character" w:customStyle="1" w:styleId="TekstopmerkingChar">
    <w:name w:val="Tekst opmerking Char"/>
    <w:basedOn w:val="Standaardalinea-lettertype"/>
    <w:link w:val="Tekstopmerking"/>
    <w:uiPriority w:val="99"/>
    <w:rsid w:val="000C394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C3943"/>
    <w:rPr>
      <w:b/>
      <w:bCs/>
    </w:rPr>
  </w:style>
  <w:style w:type="character" w:customStyle="1" w:styleId="OnderwerpvanopmerkingChar">
    <w:name w:val="Onderwerp van opmerking Char"/>
    <w:basedOn w:val="TekstopmerkingChar"/>
    <w:link w:val="Onderwerpvanopmerking"/>
    <w:uiPriority w:val="99"/>
    <w:semiHidden/>
    <w:rsid w:val="000C3943"/>
    <w:rPr>
      <w:rFonts w:ascii="Verdana" w:hAnsi="Verdana"/>
      <w:b/>
      <w:bCs/>
      <w:color w:val="000000"/>
    </w:rPr>
  </w:style>
  <w:style w:type="paragraph" w:styleId="Revisie">
    <w:name w:val="Revision"/>
    <w:hidden/>
    <w:uiPriority w:val="99"/>
    <w:semiHidden/>
    <w:rsid w:val="0081775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48398">
      <w:bodyDiv w:val="1"/>
      <w:marLeft w:val="0"/>
      <w:marRight w:val="0"/>
      <w:marTop w:val="0"/>
      <w:marBottom w:val="0"/>
      <w:divBdr>
        <w:top w:val="none" w:sz="0" w:space="0" w:color="auto"/>
        <w:left w:val="none" w:sz="0" w:space="0" w:color="auto"/>
        <w:bottom w:val="none" w:sz="0" w:space="0" w:color="auto"/>
        <w:right w:val="none" w:sz="0" w:space="0" w:color="auto"/>
      </w:divBdr>
      <w:divsChild>
        <w:div w:id="1370035092">
          <w:marLeft w:val="576"/>
          <w:marRight w:val="0"/>
          <w:marTop w:val="0"/>
          <w:marBottom w:val="0"/>
          <w:divBdr>
            <w:top w:val="none" w:sz="0" w:space="0" w:color="auto"/>
            <w:left w:val="none" w:sz="0" w:space="0" w:color="auto"/>
            <w:bottom w:val="none" w:sz="0" w:space="0" w:color="auto"/>
            <w:right w:val="none" w:sz="0" w:space="0" w:color="auto"/>
          </w:divBdr>
        </w:div>
        <w:div w:id="1119757815">
          <w:marLeft w:val="576"/>
          <w:marRight w:val="0"/>
          <w:marTop w:val="0"/>
          <w:marBottom w:val="0"/>
          <w:divBdr>
            <w:top w:val="none" w:sz="0" w:space="0" w:color="auto"/>
            <w:left w:val="none" w:sz="0" w:space="0" w:color="auto"/>
            <w:bottom w:val="none" w:sz="0" w:space="0" w:color="auto"/>
            <w:right w:val="none" w:sz="0" w:space="0" w:color="auto"/>
          </w:divBdr>
        </w:div>
        <w:div w:id="1105615646">
          <w:marLeft w:val="576"/>
          <w:marRight w:val="0"/>
          <w:marTop w:val="0"/>
          <w:marBottom w:val="0"/>
          <w:divBdr>
            <w:top w:val="none" w:sz="0" w:space="0" w:color="auto"/>
            <w:left w:val="none" w:sz="0" w:space="0" w:color="auto"/>
            <w:bottom w:val="none" w:sz="0" w:space="0" w:color="auto"/>
            <w:right w:val="none" w:sz="0" w:space="0" w:color="auto"/>
          </w:divBdr>
        </w:div>
        <w:div w:id="1850947665">
          <w:marLeft w:val="576"/>
          <w:marRight w:val="0"/>
          <w:marTop w:val="0"/>
          <w:marBottom w:val="0"/>
          <w:divBdr>
            <w:top w:val="none" w:sz="0" w:space="0" w:color="auto"/>
            <w:left w:val="none" w:sz="0" w:space="0" w:color="auto"/>
            <w:bottom w:val="none" w:sz="0" w:space="0" w:color="auto"/>
            <w:right w:val="none" w:sz="0" w:space="0" w:color="auto"/>
          </w:divBdr>
        </w:div>
        <w:div w:id="746927109">
          <w:marLeft w:val="576"/>
          <w:marRight w:val="0"/>
          <w:marTop w:val="0"/>
          <w:marBottom w:val="0"/>
          <w:divBdr>
            <w:top w:val="none" w:sz="0" w:space="0" w:color="auto"/>
            <w:left w:val="none" w:sz="0" w:space="0" w:color="auto"/>
            <w:bottom w:val="none" w:sz="0" w:space="0" w:color="auto"/>
            <w:right w:val="none" w:sz="0" w:space="0" w:color="auto"/>
          </w:divBdr>
        </w:div>
        <w:div w:id="1101798122">
          <w:marLeft w:val="576"/>
          <w:marRight w:val="0"/>
          <w:marTop w:val="0"/>
          <w:marBottom w:val="0"/>
          <w:divBdr>
            <w:top w:val="none" w:sz="0" w:space="0" w:color="auto"/>
            <w:left w:val="none" w:sz="0" w:space="0" w:color="auto"/>
            <w:bottom w:val="none" w:sz="0" w:space="0" w:color="auto"/>
            <w:right w:val="none" w:sz="0" w:space="0" w:color="auto"/>
          </w:divBdr>
        </w:div>
      </w:divsChild>
    </w:div>
    <w:div w:id="200363421">
      <w:bodyDiv w:val="1"/>
      <w:marLeft w:val="0"/>
      <w:marRight w:val="0"/>
      <w:marTop w:val="0"/>
      <w:marBottom w:val="0"/>
      <w:divBdr>
        <w:top w:val="none" w:sz="0" w:space="0" w:color="auto"/>
        <w:left w:val="none" w:sz="0" w:space="0" w:color="auto"/>
        <w:bottom w:val="none" w:sz="0" w:space="0" w:color="auto"/>
        <w:right w:val="none" w:sz="0" w:space="0" w:color="auto"/>
      </w:divBdr>
    </w:div>
    <w:div w:id="275407569">
      <w:bodyDiv w:val="1"/>
      <w:marLeft w:val="0"/>
      <w:marRight w:val="0"/>
      <w:marTop w:val="0"/>
      <w:marBottom w:val="0"/>
      <w:divBdr>
        <w:top w:val="none" w:sz="0" w:space="0" w:color="auto"/>
        <w:left w:val="none" w:sz="0" w:space="0" w:color="auto"/>
        <w:bottom w:val="none" w:sz="0" w:space="0" w:color="auto"/>
        <w:right w:val="none" w:sz="0" w:space="0" w:color="auto"/>
      </w:divBdr>
    </w:div>
    <w:div w:id="673727105">
      <w:bodyDiv w:val="1"/>
      <w:marLeft w:val="0"/>
      <w:marRight w:val="0"/>
      <w:marTop w:val="0"/>
      <w:marBottom w:val="0"/>
      <w:divBdr>
        <w:top w:val="none" w:sz="0" w:space="0" w:color="auto"/>
        <w:left w:val="none" w:sz="0" w:space="0" w:color="auto"/>
        <w:bottom w:val="none" w:sz="0" w:space="0" w:color="auto"/>
        <w:right w:val="none" w:sz="0" w:space="0" w:color="auto"/>
      </w:divBdr>
    </w:div>
    <w:div w:id="681594058">
      <w:bodyDiv w:val="1"/>
      <w:marLeft w:val="0"/>
      <w:marRight w:val="0"/>
      <w:marTop w:val="0"/>
      <w:marBottom w:val="0"/>
      <w:divBdr>
        <w:top w:val="none" w:sz="0" w:space="0" w:color="auto"/>
        <w:left w:val="none" w:sz="0" w:space="0" w:color="auto"/>
        <w:bottom w:val="none" w:sz="0" w:space="0" w:color="auto"/>
        <w:right w:val="none" w:sz="0" w:space="0" w:color="auto"/>
      </w:divBdr>
    </w:div>
    <w:div w:id="875627911">
      <w:bodyDiv w:val="1"/>
      <w:marLeft w:val="0"/>
      <w:marRight w:val="0"/>
      <w:marTop w:val="0"/>
      <w:marBottom w:val="0"/>
      <w:divBdr>
        <w:top w:val="none" w:sz="0" w:space="0" w:color="auto"/>
        <w:left w:val="none" w:sz="0" w:space="0" w:color="auto"/>
        <w:bottom w:val="none" w:sz="0" w:space="0" w:color="auto"/>
        <w:right w:val="none" w:sz="0" w:space="0" w:color="auto"/>
      </w:divBdr>
    </w:div>
    <w:div w:id="1075975495">
      <w:bodyDiv w:val="1"/>
      <w:marLeft w:val="0"/>
      <w:marRight w:val="0"/>
      <w:marTop w:val="0"/>
      <w:marBottom w:val="0"/>
      <w:divBdr>
        <w:top w:val="none" w:sz="0" w:space="0" w:color="auto"/>
        <w:left w:val="none" w:sz="0" w:space="0" w:color="auto"/>
        <w:bottom w:val="none" w:sz="0" w:space="0" w:color="auto"/>
        <w:right w:val="none" w:sz="0" w:space="0" w:color="auto"/>
      </w:divBdr>
    </w:div>
    <w:div w:id="1091657212">
      <w:bodyDiv w:val="1"/>
      <w:marLeft w:val="0"/>
      <w:marRight w:val="0"/>
      <w:marTop w:val="0"/>
      <w:marBottom w:val="0"/>
      <w:divBdr>
        <w:top w:val="none" w:sz="0" w:space="0" w:color="auto"/>
        <w:left w:val="none" w:sz="0" w:space="0" w:color="auto"/>
        <w:bottom w:val="none" w:sz="0" w:space="0" w:color="auto"/>
        <w:right w:val="none" w:sz="0" w:space="0" w:color="auto"/>
      </w:divBdr>
    </w:div>
    <w:div w:id="1240676274">
      <w:bodyDiv w:val="1"/>
      <w:marLeft w:val="0"/>
      <w:marRight w:val="0"/>
      <w:marTop w:val="0"/>
      <w:marBottom w:val="0"/>
      <w:divBdr>
        <w:top w:val="none" w:sz="0" w:space="0" w:color="auto"/>
        <w:left w:val="none" w:sz="0" w:space="0" w:color="auto"/>
        <w:bottom w:val="none" w:sz="0" w:space="0" w:color="auto"/>
        <w:right w:val="none" w:sz="0" w:space="0" w:color="auto"/>
      </w:divBdr>
    </w:div>
    <w:div w:id="1446316615">
      <w:bodyDiv w:val="1"/>
      <w:marLeft w:val="0"/>
      <w:marRight w:val="0"/>
      <w:marTop w:val="0"/>
      <w:marBottom w:val="0"/>
      <w:divBdr>
        <w:top w:val="none" w:sz="0" w:space="0" w:color="auto"/>
        <w:left w:val="none" w:sz="0" w:space="0" w:color="auto"/>
        <w:bottom w:val="none" w:sz="0" w:space="0" w:color="auto"/>
        <w:right w:val="none" w:sz="0" w:space="0" w:color="auto"/>
      </w:divBdr>
    </w:div>
    <w:div w:id="1516386352">
      <w:bodyDiv w:val="1"/>
      <w:marLeft w:val="0"/>
      <w:marRight w:val="0"/>
      <w:marTop w:val="0"/>
      <w:marBottom w:val="0"/>
      <w:divBdr>
        <w:top w:val="none" w:sz="0" w:space="0" w:color="auto"/>
        <w:left w:val="none" w:sz="0" w:space="0" w:color="auto"/>
        <w:bottom w:val="none" w:sz="0" w:space="0" w:color="auto"/>
        <w:right w:val="none" w:sz="0" w:space="0" w:color="auto"/>
      </w:divBdr>
    </w:div>
    <w:div w:id="1675254826">
      <w:bodyDiv w:val="1"/>
      <w:marLeft w:val="0"/>
      <w:marRight w:val="0"/>
      <w:marTop w:val="0"/>
      <w:marBottom w:val="0"/>
      <w:divBdr>
        <w:top w:val="none" w:sz="0" w:space="0" w:color="auto"/>
        <w:left w:val="none" w:sz="0" w:space="0" w:color="auto"/>
        <w:bottom w:val="none" w:sz="0" w:space="0" w:color="auto"/>
        <w:right w:val="none" w:sz="0" w:space="0" w:color="auto"/>
      </w:divBdr>
      <w:divsChild>
        <w:div w:id="1932229830">
          <w:marLeft w:val="504"/>
          <w:marRight w:val="0"/>
          <w:marTop w:val="240"/>
          <w:marBottom w:val="0"/>
          <w:divBdr>
            <w:top w:val="none" w:sz="0" w:space="0" w:color="auto"/>
            <w:left w:val="none" w:sz="0" w:space="0" w:color="auto"/>
            <w:bottom w:val="none" w:sz="0" w:space="0" w:color="auto"/>
            <w:right w:val="none" w:sz="0" w:space="0" w:color="auto"/>
          </w:divBdr>
        </w:div>
      </w:divsChild>
    </w:div>
    <w:div w:id="1732119784">
      <w:bodyDiv w:val="1"/>
      <w:marLeft w:val="0"/>
      <w:marRight w:val="0"/>
      <w:marTop w:val="0"/>
      <w:marBottom w:val="0"/>
      <w:divBdr>
        <w:top w:val="none" w:sz="0" w:space="0" w:color="auto"/>
        <w:left w:val="none" w:sz="0" w:space="0" w:color="auto"/>
        <w:bottom w:val="none" w:sz="0" w:space="0" w:color="auto"/>
        <w:right w:val="none" w:sz="0" w:space="0" w:color="auto"/>
      </w:divBdr>
    </w:div>
    <w:div w:id="1846481486">
      <w:bodyDiv w:val="1"/>
      <w:marLeft w:val="0"/>
      <w:marRight w:val="0"/>
      <w:marTop w:val="0"/>
      <w:marBottom w:val="0"/>
      <w:divBdr>
        <w:top w:val="none" w:sz="0" w:space="0" w:color="auto"/>
        <w:left w:val="none" w:sz="0" w:space="0" w:color="auto"/>
        <w:bottom w:val="none" w:sz="0" w:space="0" w:color="auto"/>
        <w:right w:val="none" w:sz="0" w:space="0" w:color="auto"/>
      </w:divBdr>
    </w:div>
    <w:div w:id="1854563338">
      <w:bodyDiv w:val="1"/>
      <w:marLeft w:val="0"/>
      <w:marRight w:val="0"/>
      <w:marTop w:val="0"/>
      <w:marBottom w:val="0"/>
      <w:divBdr>
        <w:top w:val="none" w:sz="0" w:space="0" w:color="auto"/>
        <w:left w:val="none" w:sz="0" w:space="0" w:color="auto"/>
        <w:bottom w:val="none" w:sz="0" w:space="0" w:color="auto"/>
        <w:right w:val="none" w:sz="0" w:space="0" w:color="auto"/>
      </w:divBdr>
    </w:div>
    <w:div w:id="2042854513">
      <w:bodyDiv w:val="1"/>
      <w:marLeft w:val="0"/>
      <w:marRight w:val="0"/>
      <w:marTop w:val="0"/>
      <w:marBottom w:val="0"/>
      <w:divBdr>
        <w:top w:val="none" w:sz="0" w:space="0" w:color="auto"/>
        <w:left w:val="none" w:sz="0" w:space="0" w:color="auto"/>
        <w:bottom w:val="none" w:sz="0" w:space="0" w:color="auto"/>
        <w:right w:val="none" w:sz="0" w:space="0" w:color="auto"/>
      </w:divBdr>
    </w:div>
    <w:div w:id="2045013167">
      <w:bodyDiv w:val="1"/>
      <w:marLeft w:val="0"/>
      <w:marRight w:val="0"/>
      <w:marTop w:val="0"/>
      <w:marBottom w:val="0"/>
      <w:divBdr>
        <w:top w:val="none" w:sz="0" w:space="0" w:color="auto"/>
        <w:left w:val="none" w:sz="0" w:space="0" w:color="auto"/>
        <w:bottom w:val="none" w:sz="0" w:space="0" w:color="auto"/>
        <w:right w:val="none" w:sz="0" w:space="0" w:color="auto"/>
      </w:divBdr>
    </w:div>
    <w:div w:id="206478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7632</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joep Swinkels</dc:creator>
  <cp:keywords/>
  <dc:description>------------------------</dc:description>
  <cp:lastModifiedBy>joep Swinkels</cp:lastModifiedBy>
  <cp:revision>2</cp:revision>
  <dcterms:created xsi:type="dcterms:W3CDTF">2023-08-30T20:24:00Z</dcterms:created>
  <dcterms:modified xsi:type="dcterms:W3CDTF">2023-08-30T20:24:00Z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29 augustus 2023</vt:lpwstr>
  </property>
  <property fmtid="{D5CDD505-2E9C-101B-9397-08002B2CF9AE}" pid="4" name="Onderwerp">
    <vt:lpwstr>Kamerbrief Afwegingskader Startbouwimpuls (SBI)</vt:lpwstr>
  </property>
  <property fmtid="{D5CDD505-2E9C-101B-9397-08002B2CF9AE}" pid="5" name="Kenmerk">
    <vt:lpwstr>2023-0000529463</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ies>
</file>